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707" w:rsidRDefault="00890707" w:rsidP="0000709B">
      <w:pPr>
        <w:pStyle w:val="a3"/>
        <w:spacing w:after="0"/>
        <w:ind w:firstLine="709"/>
        <w:jc w:val="both"/>
        <w:rPr>
          <w:sz w:val="27"/>
          <w:szCs w:val="27"/>
        </w:rPr>
      </w:pPr>
    </w:p>
    <w:p w:rsidR="00890707" w:rsidRDefault="00890707" w:rsidP="00890707">
      <w:pPr>
        <w:pStyle w:val="a3"/>
        <w:spacing w:after="0"/>
        <w:ind w:firstLine="709"/>
        <w:jc w:val="center"/>
        <w:rPr>
          <w:b/>
          <w:i/>
          <w:sz w:val="28"/>
          <w:szCs w:val="28"/>
        </w:rPr>
      </w:pPr>
      <w:r w:rsidRPr="001B4C6C">
        <w:rPr>
          <w:b/>
          <w:i/>
          <w:sz w:val="28"/>
          <w:szCs w:val="28"/>
        </w:rPr>
        <w:t>Эпидемиологическая ситуация по заболеваемости ВИЧ-инфекцией                                             в Амурской области</w:t>
      </w:r>
      <w:r w:rsidR="00895A56">
        <w:rPr>
          <w:b/>
          <w:i/>
          <w:sz w:val="28"/>
          <w:szCs w:val="28"/>
        </w:rPr>
        <w:t xml:space="preserve"> за январь - июнь</w:t>
      </w:r>
      <w:r w:rsidR="006A76D7">
        <w:rPr>
          <w:b/>
          <w:i/>
          <w:sz w:val="28"/>
          <w:szCs w:val="28"/>
        </w:rPr>
        <w:t xml:space="preserve"> 2025 года</w:t>
      </w:r>
    </w:p>
    <w:p w:rsidR="006C221D" w:rsidRDefault="006C221D" w:rsidP="00890707">
      <w:pPr>
        <w:pStyle w:val="a3"/>
        <w:spacing w:after="0"/>
        <w:ind w:firstLine="709"/>
        <w:jc w:val="center"/>
        <w:rPr>
          <w:b/>
          <w:i/>
          <w:sz w:val="28"/>
          <w:szCs w:val="28"/>
        </w:rPr>
      </w:pPr>
    </w:p>
    <w:p w:rsidR="00895A56" w:rsidRDefault="00895A56" w:rsidP="00895A56">
      <w:pPr>
        <w:pStyle w:val="a3"/>
        <w:spacing w:after="0" w:line="360" w:lineRule="auto"/>
        <w:ind w:firstLine="709"/>
        <w:contextualSpacing/>
        <w:jc w:val="both"/>
        <w:rPr>
          <w:color w:val="000000" w:themeColor="text1"/>
          <w:sz w:val="26"/>
          <w:szCs w:val="26"/>
        </w:rPr>
      </w:pPr>
      <w:r>
        <w:rPr>
          <w:sz w:val="26"/>
          <w:szCs w:val="26"/>
        </w:rPr>
        <w:t>С момента регистрации заболевания (</w:t>
      </w:r>
      <w:smartTag w:uri="urn:schemas-microsoft-com:office:smarttags" w:element="metricconverter">
        <w:smartTagPr>
          <w:attr w:name="ProductID" w:val="1995 г"/>
        </w:smartTagPr>
        <w:r>
          <w:rPr>
            <w:sz w:val="26"/>
            <w:szCs w:val="26"/>
          </w:rPr>
          <w:t>1995 г</w:t>
        </w:r>
      </w:smartTag>
      <w:r>
        <w:rPr>
          <w:sz w:val="26"/>
          <w:szCs w:val="26"/>
        </w:rPr>
        <w:t xml:space="preserve">.) и по состоянию на 01.07.2025 в области </w:t>
      </w:r>
      <w:r>
        <w:rPr>
          <w:color w:val="000000" w:themeColor="text1"/>
          <w:sz w:val="26"/>
          <w:szCs w:val="26"/>
        </w:rPr>
        <w:t xml:space="preserve">кумулятивно зарегистрировано </w:t>
      </w:r>
      <w:r>
        <w:rPr>
          <w:b/>
          <w:bCs/>
          <w:iCs/>
          <w:color w:val="000000" w:themeColor="text1"/>
          <w:sz w:val="26"/>
          <w:szCs w:val="26"/>
        </w:rPr>
        <w:t>2941</w:t>
      </w:r>
      <w:r>
        <w:rPr>
          <w:bCs/>
          <w:i/>
          <w:iCs/>
          <w:color w:val="000000" w:themeColor="text1"/>
          <w:sz w:val="26"/>
          <w:szCs w:val="26"/>
        </w:rPr>
        <w:t xml:space="preserve"> </w:t>
      </w:r>
      <w:r>
        <w:rPr>
          <w:color w:val="000000" w:themeColor="text1"/>
          <w:sz w:val="26"/>
          <w:szCs w:val="26"/>
        </w:rPr>
        <w:t xml:space="preserve">случай ВИЧ-инфекции, из них </w:t>
      </w:r>
      <w:r>
        <w:rPr>
          <w:b/>
          <w:color w:val="000000" w:themeColor="text1"/>
          <w:sz w:val="26"/>
          <w:szCs w:val="26"/>
        </w:rPr>
        <w:t>2141</w:t>
      </w:r>
      <w:r>
        <w:rPr>
          <w:color w:val="000000" w:themeColor="text1"/>
          <w:sz w:val="26"/>
          <w:szCs w:val="26"/>
        </w:rPr>
        <w:t xml:space="preserve"> случай впервые установлены среди российских граждан, в том числе жителей Амурской области -</w:t>
      </w:r>
      <w:r>
        <w:rPr>
          <w:b/>
          <w:color w:val="000000" w:themeColor="text1"/>
          <w:sz w:val="26"/>
          <w:szCs w:val="26"/>
        </w:rPr>
        <w:t xml:space="preserve">1948 </w:t>
      </w:r>
      <w:r>
        <w:rPr>
          <w:color w:val="000000" w:themeColor="text1"/>
          <w:sz w:val="26"/>
          <w:szCs w:val="26"/>
        </w:rPr>
        <w:t>случаев.</w:t>
      </w:r>
    </w:p>
    <w:p w:rsidR="00F27492" w:rsidRDefault="00F27492" w:rsidP="00F27492">
      <w:pPr>
        <w:pStyle w:val="a3"/>
        <w:spacing w:after="0" w:line="360" w:lineRule="auto"/>
        <w:ind w:firstLine="709"/>
        <w:contextualSpacing/>
        <w:jc w:val="both"/>
        <w:rPr>
          <w:color w:val="000000" w:themeColor="text1"/>
          <w:sz w:val="26"/>
          <w:szCs w:val="26"/>
        </w:rPr>
      </w:pPr>
      <w:r>
        <w:rPr>
          <w:color w:val="000000" w:themeColor="text1"/>
          <w:sz w:val="26"/>
          <w:szCs w:val="26"/>
        </w:rPr>
        <w:t>.</w:t>
      </w:r>
    </w:p>
    <w:p w:rsidR="00C06DCC" w:rsidRPr="003D24E5" w:rsidRDefault="00000A0A" w:rsidP="00F27492">
      <w:pPr>
        <w:pStyle w:val="a3"/>
        <w:spacing w:after="0" w:line="360" w:lineRule="auto"/>
        <w:contextualSpacing/>
        <w:jc w:val="both"/>
        <w:rPr>
          <w:sz w:val="26"/>
          <w:szCs w:val="26"/>
        </w:rPr>
      </w:pPr>
      <w:r>
        <w:rPr>
          <w:noProof/>
        </w:rPr>
        <w:drawing>
          <wp:inline distT="0" distB="0" distL="0" distR="0" wp14:anchorId="0C71F8A1" wp14:editId="0B5BEA2B">
            <wp:extent cx="6781800" cy="149352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95A56" w:rsidRDefault="00895A56" w:rsidP="00895A56">
      <w:pPr>
        <w:pStyle w:val="a3"/>
        <w:spacing w:after="0" w:line="360" w:lineRule="auto"/>
        <w:ind w:firstLine="709"/>
        <w:contextualSpacing/>
        <w:jc w:val="both"/>
        <w:rPr>
          <w:color w:val="000000" w:themeColor="text1"/>
          <w:sz w:val="26"/>
          <w:szCs w:val="26"/>
        </w:rPr>
      </w:pPr>
      <w:r>
        <w:rPr>
          <w:color w:val="000000" w:themeColor="text1"/>
          <w:sz w:val="26"/>
          <w:szCs w:val="26"/>
        </w:rPr>
        <w:t xml:space="preserve">В сравнении с аналогичными периодами 2024 и 2023 заболеваемость впервые выявленными случаями ВИЧ-инфекции (без УФСИН) снизилась на </w:t>
      </w:r>
      <w:r>
        <w:rPr>
          <w:b/>
          <w:color w:val="000000" w:themeColor="text1"/>
          <w:sz w:val="26"/>
          <w:szCs w:val="26"/>
        </w:rPr>
        <w:t>19,6%</w:t>
      </w:r>
      <w:r>
        <w:rPr>
          <w:color w:val="000000" w:themeColor="text1"/>
          <w:sz w:val="26"/>
          <w:szCs w:val="26"/>
        </w:rPr>
        <w:t xml:space="preserve"> и </w:t>
      </w:r>
      <w:r>
        <w:rPr>
          <w:b/>
          <w:color w:val="000000" w:themeColor="text1"/>
          <w:sz w:val="26"/>
          <w:szCs w:val="26"/>
        </w:rPr>
        <w:t>45,9%</w:t>
      </w:r>
      <w:r>
        <w:rPr>
          <w:color w:val="000000" w:themeColor="text1"/>
          <w:sz w:val="26"/>
          <w:szCs w:val="26"/>
        </w:rPr>
        <w:t xml:space="preserve"> соответственно. </w:t>
      </w:r>
    </w:p>
    <w:p w:rsidR="00895A56" w:rsidRDefault="00895A56" w:rsidP="00895A56">
      <w:pPr>
        <w:pStyle w:val="a3"/>
        <w:spacing w:after="0" w:line="360" w:lineRule="auto"/>
        <w:ind w:firstLine="709"/>
        <w:contextualSpacing/>
        <w:jc w:val="both"/>
        <w:rPr>
          <w:color w:val="000000" w:themeColor="text1"/>
          <w:sz w:val="26"/>
          <w:szCs w:val="26"/>
        </w:rPr>
      </w:pPr>
      <w:r>
        <w:rPr>
          <w:color w:val="000000" w:themeColor="text1"/>
          <w:sz w:val="26"/>
          <w:szCs w:val="26"/>
        </w:rPr>
        <w:t xml:space="preserve">За 6 месяцев 2025 года, по данным оперативных донесений, зарегистрировано </w:t>
      </w:r>
      <w:r>
        <w:rPr>
          <w:b/>
          <w:color w:val="000000" w:themeColor="text1"/>
          <w:sz w:val="26"/>
          <w:szCs w:val="26"/>
        </w:rPr>
        <w:t>135 сл.</w:t>
      </w:r>
      <w:r>
        <w:rPr>
          <w:color w:val="000000" w:themeColor="text1"/>
          <w:sz w:val="26"/>
          <w:szCs w:val="26"/>
        </w:rPr>
        <w:t xml:space="preserve"> ВИЧ-инфекции, в т. ч.:</w:t>
      </w:r>
    </w:p>
    <w:p w:rsidR="00895A56" w:rsidRDefault="00895A56" w:rsidP="00895A56">
      <w:pPr>
        <w:pStyle w:val="a3"/>
        <w:spacing w:after="0" w:line="360" w:lineRule="auto"/>
        <w:ind w:firstLine="709"/>
        <w:contextualSpacing/>
        <w:jc w:val="both"/>
        <w:rPr>
          <w:color w:val="000000" w:themeColor="text1"/>
          <w:sz w:val="26"/>
          <w:szCs w:val="26"/>
        </w:rPr>
      </w:pPr>
      <w:r>
        <w:rPr>
          <w:color w:val="000000" w:themeColor="text1"/>
          <w:sz w:val="26"/>
          <w:szCs w:val="26"/>
        </w:rPr>
        <w:t>- 8 сл. ведомство ФСИН;</w:t>
      </w:r>
    </w:p>
    <w:p w:rsidR="00895A56" w:rsidRDefault="00895A56" w:rsidP="00895A56">
      <w:pPr>
        <w:pStyle w:val="a3"/>
        <w:spacing w:after="0" w:line="360" w:lineRule="auto"/>
        <w:ind w:firstLine="567"/>
        <w:contextualSpacing/>
        <w:jc w:val="both"/>
        <w:rPr>
          <w:color w:val="000000" w:themeColor="text1"/>
          <w:sz w:val="26"/>
          <w:szCs w:val="26"/>
        </w:rPr>
      </w:pPr>
      <w:r>
        <w:rPr>
          <w:color w:val="000000" w:themeColor="text1"/>
          <w:sz w:val="26"/>
          <w:szCs w:val="26"/>
        </w:rPr>
        <w:t xml:space="preserve">  - 75 сл. впервые установлены у российских граждан, в том числе 72 - жители Амурской области;</w:t>
      </w:r>
    </w:p>
    <w:p w:rsidR="00895A56" w:rsidRDefault="00895A56" w:rsidP="00895A56">
      <w:pPr>
        <w:pStyle w:val="a3"/>
        <w:spacing w:after="0" w:line="360" w:lineRule="auto"/>
        <w:ind w:firstLine="567"/>
        <w:contextualSpacing/>
        <w:jc w:val="both"/>
        <w:rPr>
          <w:color w:val="000000" w:themeColor="text1"/>
          <w:sz w:val="26"/>
          <w:szCs w:val="26"/>
        </w:rPr>
      </w:pPr>
      <w:r>
        <w:rPr>
          <w:bCs/>
          <w:color w:val="000000" w:themeColor="text1"/>
          <w:sz w:val="26"/>
          <w:szCs w:val="26"/>
        </w:rPr>
        <w:t xml:space="preserve">  - 24 сл. среди граждан, прибывших с установленным ранее диагнозом; </w:t>
      </w:r>
    </w:p>
    <w:p w:rsidR="00895A56" w:rsidRDefault="00895A56" w:rsidP="00895A56">
      <w:pPr>
        <w:pStyle w:val="a3"/>
        <w:spacing w:after="0" w:line="360" w:lineRule="auto"/>
        <w:ind w:firstLine="709"/>
        <w:contextualSpacing/>
        <w:jc w:val="both"/>
        <w:rPr>
          <w:color w:val="000000" w:themeColor="text1"/>
          <w:sz w:val="26"/>
          <w:szCs w:val="26"/>
        </w:rPr>
      </w:pPr>
      <w:r>
        <w:rPr>
          <w:bCs/>
          <w:color w:val="000000" w:themeColor="text1"/>
          <w:sz w:val="26"/>
          <w:szCs w:val="26"/>
        </w:rPr>
        <w:t xml:space="preserve">- 28 сл. - иностранные граждане. </w:t>
      </w:r>
    </w:p>
    <w:p w:rsidR="00895A56" w:rsidRDefault="00895A56" w:rsidP="00895A56">
      <w:pPr>
        <w:spacing w:line="360" w:lineRule="auto"/>
        <w:ind w:firstLine="709"/>
        <w:jc w:val="both"/>
        <w:rPr>
          <w:color w:val="000000" w:themeColor="text1"/>
          <w:sz w:val="26"/>
          <w:szCs w:val="26"/>
        </w:rPr>
      </w:pPr>
      <w:r>
        <w:rPr>
          <w:color w:val="000000" w:themeColor="text1"/>
          <w:sz w:val="26"/>
          <w:szCs w:val="26"/>
        </w:rPr>
        <w:t>Среди впервые выявленных ВИЧ-инфицированных граждан (без ФСИН):</w:t>
      </w:r>
    </w:p>
    <w:p w:rsidR="00895A56" w:rsidRDefault="00895A56" w:rsidP="00895A56">
      <w:pPr>
        <w:spacing w:line="360" w:lineRule="auto"/>
        <w:ind w:firstLine="709"/>
        <w:jc w:val="both"/>
        <w:rPr>
          <w:color w:val="000000" w:themeColor="text1"/>
          <w:sz w:val="26"/>
          <w:szCs w:val="26"/>
        </w:rPr>
      </w:pPr>
      <w:r>
        <w:rPr>
          <w:color w:val="000000" w:themeColor="text1"/>
          <w:sz w:val="26"/>
          <w:szCs w:val="26"/>
        </w:rPr>
        <w:t xml:space="preserve">- </w:t>
      </w:r>
      <w:r>
        <w:rPr>
          <w:b/>
          <w:color w:val="000000" w:themeColor="text1"/>
          <w:sz w:val="26"/>
          <w:szCs w:val="26"/>
        </w:rPr>
        <w:t>29,3%</w:t>
      </w:r>
      <w:r>
        <w:rPr>
          <w:color w:val="000000" w:themeColor="text1"/>
          <w:sz w:val="26"/>
          <w:szCs w:val="26"/>
        </w:rPr>
        <w:t xml:space="preserve"> составили женщины; </w:t>
      </w:r>
    </w:p>
    <w:p w:rsidR="00895A56" w:rsidRDefault="00895A56" w:rsidP="00895A56">
      <w:pPr>
        <w:pStyle w:val="a3"/>
        <w:spacing w:after="0" w:line="360" w:lineRule="auto"/>
        <w:ind w:firstLine="708"/>
        <w:jc w:val="both"/>
        <w:textAlignment w:val="baseline"/>
        <w:rPr>
          <w:color w:val="000000" w:themeColor="text1"/>
          <w:sz w:val="26"/>
          <w:szCs w:val="26"/>
        </w:rPr>
      </w:pPr>
      <w:r>
        <w:rPr>
          <w:color w:val="000000" w:themeColor="text1"/>
          <w:sz w:val="26"/>
          <w:szCs w:val="26"/>
        </w:rPr>
        <w:t xml:space="preserve">- в возрастной структуре впервые выявленных случаев ВИЧ-инфекции </w:t>
      </w:r>
      <w:r>
        <w:rPr>
          <w:b/>
          <w:color w:val="000000" w:themeColor="text1"/>
          <w:sz w:val="26"/>
          <w:szCs w:val="26"/>
        </w:rPr>
        <w:t>64%</w:t>
      </w:r>
      <w:r>
        <w:rPr>
          <w:color w:val="000000" w:themeColor="text1"/>
          <w:sz w:val="26"/>
          <w:szCs w:val="26"/>
        </w:rPr>
        <w:t xml:space="preserve"> приходится на возрастную группу 40 лет и старше, </w:t>
      </w:r>
      <w:r>
        <w:rPr>
          <w:b/>
          <w:color w:val="000000" w:themeColor="text1"/>
          <w:sz w:val="26"/>
          <w:szCs w:val="26"/>
        </w:rPr>
        <w:t>20%</w:t>
      </w:r>
      <w:r>
        <w:rPr>
          <w:color w:val="000000" w:themeColor="text1"/>
          <w:sz w:val="26"/>
          <w:szCs w:val="26"/>
        </w:rPr>
        <w:t xml:space="preserve"> - возрастная группа 30 – 39 лет, на возраст 19-29 лет пришлось </w:t>
      </w:r>
      <w:r w:rsidRPr="00104979">
        <w:rPr>
          <w:b/>
          <w:color w:val="000000" w:themeColor="text1"/>
          <w:sz w:val="26"/>
          <w:szCs w:val="26"/>
        </w:rPr>
        <w:t>14,7</w:t>
      </w:r>
      <w:r>
        <w:rPr>
          <w:b/>
          <w:color w:val="000000" w:themeColor="text1"/>
          <w:sz w:val="26"/>
          <w:szCs w:val="26"/>
        </w:rPr>
        <w:t xml:space="preserve">%, </w:t>
      </w:r>
      <w:r>
        <w:rPr>
          <w:color w:val="000000" w:themeColor="text1"/>
          <w:sz w:val="26"/>
          <w:szCs w:val="26"/>
        </w:rPr>
        <w:t xml:space="preserve">дети до 1 года – </w:t>
      </w:r>
      <w:r>
        <w:rPr>
          <w:b/>
          <w:color w:val="000000" w:themeColor="text1"/>
          <w:sz w:val="26"/>
          <w:szCs w:val="26"/>
        </w:rPr>
        <w:t>1,3%</w:t>
      </w:r>
      <w:r>
        <w:rPr>
          <w:color w:val="000000" w:themeColor="text1"/>
          <w:sz w:val="26"/>
          <w:szCs w:val="26"/>
        </w:rPr>
        <w:t xml:space="preserve"> (1 сл.) (</w:t>
      </w:r>
      <w:r>
        <w:rPr>
          <w:rFonts w:eastAsia="+mn-ea"/>
          <w:bCs/>
          <w:color w:val="000000" w:themeColor="text1"/>
          <w:kern w:val="24"/>
          <w:sz w:val="26"/>
          <w:szCs w:val="26"/>
        </w:rPr>
        <w:t xml:space="preserve">ребенок до 1 г., рожденный от ВИЧ-инфицированной матери); </w:t>
      </w:r>
    </w:p>
    <w:p w:rsidR="00895A56" w:rsidRDefault="00895A56" w:rsidP="00895A56">
      <w:pPr>
        <w:shd w:val="clear" w:color="auto" w:fill="FFFFFF"/>
        <w:spacing w:line="360" w:lineRule="auto"/>
        <w:ind w:firstLine="709"/>
        <w:jc w:val="both"/>
        <w:rPr>
          <w:b/>
          <w:color w:val="000000" w:themeColor="text1"/>
          <w:sz w:val="26"/>
          <w:szCs w:val="26"/>
        </w:rPr>
      </w:pPr>
      <w:r>
        <w:rPr>
          <w:color w:val="000000" w:themeColor="text1"/>
          <w:sz w:val="26"/>
          <w:szCs w:val="26"/>
        </w:rPr>
        <w:t xml:space="preserve">- по пути передачи: доминирует половой – </w:t>
      </w:r>
      <w:r>
        <w:rPr>
          <w:b/>
          <w:color w:val="000000" w:themeColor="text1"/>
          <w:sz w:val="26"/>
          <w:szCs w:val="26"/>
        </w:rPr>
        <w:t>88%,</w:t>
      </w:r>
      <w:r>
        <w:rPr>
          <w:color w:val="000000" w:themeColor="text1"/>
          <w:sz w:val="26"/>
          <w:szCs w:val="26"/>
        </w:rPr>
        <w:t xml:space="preserve"> парентеральный (наркотический) составил </w:t>
      </w:r>
      <w:r>
        <w:rPr>
          <w:b/>
          <w:color w:val="000000" w:themeColor="text1"/>
          <w:sz w:val="26"/>
          <w:szCs w:val="26"/>
        </w:rPr>
        <w:t>10%</w:t>
      </w:r>
      <w:r>
        <w:rPr>
          <w:color w:val="000000" w:themeColor="text1"/>
          <w:sz w:val="26"/>
          <w:szCs w:val="26"/>
        </w:rPr>
        <w:t xml:space="preserve">, вертикальный – </w:t>
      </w:r>
      <w:r>
        <w:rPr>
          <w:b/>
          <w:color w:val="000000" w:themeColor="text1"/>
          <w:sz w:val="26"/>
          <w:szCs w:val="26"/>
        </w:rPr>
        <w:t>2%.</w:t>
      </w:r>
    </w:p>
    <w:p w:rsidR="00AF2CC9" w:rsidRPr="0023415F" w:rsidRDefault="00895A56" w:rsidP="009C3F19">
      <w:pPr>
        <w:pStyle w:val="a3"/>
        <w:kinsoku w:val="0"/>
        <w:overflowPunct w:val="0"/>
        <w:spacing w:after="0" w:line="360" w:lineRule="auto"/>
        <w:ind w:firstLine="708"/>
        <w:contextualSpacing/>
        <w:jc w:val="both"/>
        <w:textAlignment w:val="baseline"/>
        <w:rPr>
          <w:rFonts w:eastAsiaTheme="minorEastAsia" w:cstheme="minorBidi"/>
          <w:bCs/>
          <w:color w:val="000000" w:themeColor="text1"/>
          <w:kern w:val="24"/>
          <w:sz w:val="26"/>
          <w:szCs w:val="26"/>
        </w:rPr>
      </w:pPr>
      <w:r>
        <w:rPr>
          <w:bCs/>
          <w:color w:val="000000" w:themeColor="text1"/>
          <w:sz w:val="26"/>
          <w:szCs w:val="26"/>
        </w:rPr>
        <w:t xml:space="preserve">За истёкший период 2025 года ВИЧ-инфекция зарегистрирована на </w:t>
      </w:r>
      <w:r>
        <w:rPr>
          <w:b/>
          <w:bCs/>
          <w:color w:val="000000" w:themeColor="text1"/>
          <w:sz w:val="26"/>
          <w:szCs w:val="26"/>
        </w:rPr>
        <w:t xml:space="preserve">18 </w:t>
      </w:r>
      <w:r>
        <w:rPr>
          <w:bCs/>
          <w:color w:val="000000" w:themeColor="text1"/>
          <w:sz w:val="26"/>
          <w:szCs w:val="26"/>
        </w:rPr>
        <w:t>административных территориях (2024 – 20). Превышение среднеобластного показателя (9,96 на 100 тыс. населения, без ФСИН) зарегистрировано</w:t>
      </w:r>
      <w:r>
        <w:rPr>
          <w:rFonts w:eastAsiaTheme="minorEastAsia" w:cstheme="minorBidi"/>
          <w:bCs/>
          <w:color w:val="000000" w:themeColor="text1"/>
          <w:kern w:val="24"/>
          <w:sz w:val="26"/>
          <w:szCs w:val="26"/>
        </w:rPr>
        <w:t xml:space="preserve"> на </w:t>
      </w:r>
      <w:r>
        <w:rPr>
          <w:rFonts w:eastAsiaTheme="minorEastAsia" w:cstheme="minorBidi"/>
          <w:b/>
          <w:bCs/>
          <w:color w:val="000000" w:themeColor="text1"/>
          <w:kern w:val="24"/>
          <w:sz w:val="26"/>
          <w:szCs w:val="26"/>
        </w:rPr>
        <w:t xml:space="preserve">9 </w:t>
      </w:r>
      <w:r>
        <w:rPr>
          <w:rFonts w:eastAsiaTheme="minorEastAsia" w:cstheme="minorBidi"/>
          <w:bCs/>
          <w:color w:val="000000" w:themeColor="text1"/>
          <w:kern w:val="24"/>
          <w:sz w:val="26"/>
          <w:szCs w:val="26"/>
        </w:rPr>
        <w:t>территориях, в городах Белогорск</w:t>
      </w:r>
      <w:r>
        <w:rPr>
          <w:rFonts w:eastAsiaTheme="minorEastAsia" w:cstheme="minorBidi"/>
          <w:bCs/>
          <w:color w:val="000000" w:themeColor="text1"/>
          <w:kern w:val="24"/>
          <w:sz w:val="26"/>
          <w:szCs w:val="26"/>
        </w:rPr>
        <w:t>,</w:t>
      </w:r>
      <w:r>
        <w:rPr>
          <w:rFonts w:eastAsiaTheme="minorEastAsia" w:cstheme="minorBidi"/>
          <w:bCs/>
          <w:color w:val="000000" w:themeColor="text1"/>
          <w:kern w:val="24"/>
          <w:sz w:val="26"/>
          <w:szCs w:val="26"/>
        </w:rPr>
        <w:t xml:space="preserve"> Зея</w:t>
      </w:r>
      <w:r>
        <w:rPr>
          <w:rFonts w:eastAsiaTheme="minorEastAsia" w:cstheme="minorBidi"/>
          <w:bCs/>
          <w:color w:val="000000" w:themeColor="text1"/>
          <w:kern w:val="24"/>
          <w:sz w:val="26"/>
          <w:szCs w:val="26"/>
        </w:rPr>
        <w:t>,</w:t>
      </w:r>
      <w:r>
        <w:rPr>
          <w:rFonts w:eastAsiaTheme="minorEastAsia" w:cstheme="minorBidi"/>
          <w:bCs/>
          <w:color w:val="000000" w:themeColor="text1"/>
          <w:kern w:val="24"/>
          <w:sz w:val="26"/>
          <w:szCs w:val="26"/>
        </w:rPr>
        <w:t xml:space="preserve"> Свободный</w:t>
      </w:r>
      <w:r>
        <w:rPr>
          <w:rFonts w:eastAsiaTheme="minorEastAsia" w:cstheme="minorBidi"/>
          <w:bCs/>
          <w:color w:val="000000" w:themeColor="text1"/>
          <w:kern w:val="24"/>
          <w:sz w:val="26"/>
          <w:szCs w:val="26"/>
        </w:rPr>
        <w:t xml:space="preserve">, </w:t>
      </w:r>
      <w:r>
        <w:rPr>
          <w:rFonts w:eastAsiaTheme="minorEastAsia" w:cstheme="minorBidi"/>
          <w:bCs/>
          <w:color w:val="000000" w:themeColor="text1"/>
          <w:kern w:val="24"/>
          <w:sz w:val="26"/>
          <w:szCs w:val="26"/>
        </w:rPr>
        <w:t>г. Тында</w:t>
      </w:r>
      <w:r>
        <w:rPr>
          <w:rFonts w:eastAsiaTheme="minorEastAsia" w:cstheme="minorBidi"/>
          <w:bCs/>
          <w:color w:val="000000" w:themeColor="text1"/>
          <w:kern w:val="24"/>
          <w:sz w:val="26"/>
          <w:szCs w:val="26"/>
        </w:rPr>
        <w:t>, Б</w:t>
      </w:r>
      <w:r>
        <w:rPr>
          <w:rFonts w:eastAsiaTheme="minorEastAsia" w:cstheme="minorBidi"/>
          <w:bCs/>
          <w:color w:val="000000" w:themeColor="text1"/>
          <w:kern w:val="24"/>
          <w:sz w:val="26"/>
          <w:szCs w:val="26"/>
        </w:rPr>
        <w:t>лаговещенск</w:t>
      </w:r>
      <w:r>
        <w:rPr>
          <w:rFonts w:eastAsiaTheme="minorEastAsia" w:cstheme="minorBidi"/>
          <w:bCs/>
          <w:color w:val="000000" w:themeColor="text1"/>
          <w:kern w:val="24"/>
          <w:sz w:val="26"/>
          <w:szCs w:val="26"/>
        </w:rPr>
        <w:t>,</w:t>
      </w:r>
      <w:r>
        <w:rPr>
          <w:rFonts w:eastAsiaTheme="minorEastAsia" w:cstheme="minorBidi"/>
          <w:bCs/>
          <w:color w:val="000000" w:themeColor="text1"/>
          <w:kern w:val="24"/>
          <w:sz w:val="26"/>
          <w:szCs w:val="26"/>
        </w:rPr>
        <w:t xml:space="preserve"> в Шимановском</w:t>
      </w:r>
      <w:r>
        <w:rPr>
          <w:rFonts w:eastAsiaTheme="minorEastAsia" w:cstheme="minorBidi"/>
          <w:bCs/>
          <w:color w:val="000000" w:themeColor="text1"/>
          <w:kern w:val="24"/>
          <w:sz w:val="26"/>
          <w:szCs w:val="26"/>
        </w:rPr>
        <w:t>,</w:t>
      </w:r>
      <w:r>
        <w:rPr>
          <w:rFonts w:eastAsiaTheme="minorEastAsia" w:cstheme="minorBidi"/>
          <w:bCs/>
          <w:color w:val="000000" w:themeColor="text1"/>
          <w:kern w:val="24"/>
          <w:sz w:val="26"/>
          <w:szCs w:val="26"/>
        </w:rPr>
        <w:t xml:space="preserve"> Сковородинском</w:t>
      </w:r>
      <w:r>
        <w:rPr>
          <w:rFonts w:eastAsiaTheme="minorEastAsia" w:cstheme="minorBidi"/>
          <w:bCs/>
          <w:color w:val="000000" w:themeColor="text1"/>
          <w:kern w:val="24"/>
          <w:sz w:val="26"/>
          <w:szCs w:val="26"/>
        </w:rPr>
        <w:t>,</w:t>
      </w:r>
      <w:r>
        <w:rPr>
          <w:rFonts w:eastAsiaTheme="minorEastAsia" w:cstheme="minorBidi"/>
          <w:bCs/>
          <w:color w:val="000000" w:themeColor="text1"/>
          <w:kern w:val="24"/>
          <w:sz w:val="26"/>
          <w:szCs w:val="26"/>
        </w:rPr>
        <w:t xml:space="preserve"> Тамбовском </w:t>
      </w:r>
      <w:r>
        <w:rPr>
          <w:rFonts w:eastAsiaTheme="minorEastAsia" w:cstheme="minorBidi"/>
          <w:bCs/>
          <w:color w:val="000000" w:themeColor="text1"/>
          <w:kern w:val="24"/>
          <w:sz w:val="26"/>
          <w:szCs w:val="26"/>
        </w:rPr>
        <w:t>р</w:t>
      </w:r>
      <w:r>
        <w:rPr>
          <w:rFonts w:eastAsiaTheme="minorEastAsia" w:cstheme="minorBidi"/>
          <w:bCs/>
          <w:color w:val="000000" w:themeColor="text1"/>
          <w:kern w:val="24"/>
          <w:sz w:val="26"/>
          <w:szCs w:val="26"/>
        </w:rPr>
        <w:t>айонах</w:t>
      </w:r>
      <w:r>
        <w:rPr>
          <w:rFonts w:eastAsiaTheme="minorEastAsia" w:cstheme="minorBidi"/>
          <w:bCs/>
          <w:color w:val="000000" w:themeColor="text1"/>
          <w:kern w:val="24"/>
          <w:sz w:val="26"/>
          <w:szCs w:val="26"/>
        </w:rPr>
        <w:t xml:space="preserve">, </w:t>
      </w:r>
      <w:r>
        <w:rPr>
          <w:rFonts w:eastAsiaTheme="minorEastAsia" w:cstheme="minorBidi"/>
          <w:bCs/>
          <w:color w:val="000000" w:themeColor="text1"/>
          <w:kern w:val="24"/>
          <w:sz w:val="26"/>
          <w:szCs w:val="26"/>
        </w:rPr>
        <w:t>пгт. Прогресс,</w:t>
      </w:r>
      <w:bookmarkStart w:id="0" w:name="_GoBack"/>
      <w:bookmarkEnd w:id="0"/>
    </w:p>
    <w:sectPr w:rsidR="00AF2CC9" w:rsidRPr="0023415F" w:rsidSect="004A6CFD">
      <w:headerReference w:type="even" r:id="rId8"/>
      <w:headerReference w:type="default" r:id="rId9"/>
      <w:pgSz w:w="11906" w:h="16838" w:code="9"/>
      <w:pgMar w:top="567" w:right="567" w:bottom="284" w:left="851"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B82" w:rsidRDefault="005D0B82">
      <w:r>
        <w:separator/>
      </w:r>
    </w:p>
  </w:endnote>
  <w:endnote w:type="continuationSeparator" w:id="0">
    <w:p w:rsidR="005D0B82" w:rsidRDefault="005D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B82" w:rsidRDefault="005D0B82">
      <w:r>
        <w:separator/>
      </w:r>
    </w:p>
  </w:footnote>
  <w:footnote w:type="continuationSeparator" w:id="0">
    <w:p w:rsidR="005D0B82" w:rsidRDefault="005D0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9F" w:rsidRDefault="002F685A" w:rsidP="00E105C1">
    <w:pPr>
      <w:pStyle w:val="a7"/>
      <w:framePr w:wrap="around" w:vAnchor="text" w:hAnchor="margin" w:xAlign="center" w:y="1"/>
      <w:rPr>
        <w:rStyle w:val="ab"/>
      </w:rPr>
    </w:pPr>
    <w:r>
      <w:rPr>
        <w:rStyle w:val="ab"/>
      </w:rPr>
      <w:fldChar w:fldCharType="begin"/>
    </w:r>
    <w:r w:rsidR="00002D9F">
      <w:rPr>
        <w:rStyle w:val="ab"/>
      </w:rPr>
      <w:instrText xml:space="preserve">PAGE  </w:instrText>
    </w:r>
    <w:r>
      <w:rPr>
        <w:rStyle w:val="ab"/>
      </w:rPr>
      <w:fldChar w:fldCharType="end"/>
    </w:r>
  </w:p>
  <w:p w:rsidR="00002D9F" w:rsidRDefault="00002D9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9F" w:rsidRDefault="002F685A" w:rsidP="00E105C1">
    <w:pPr>
      <w:pStyle w:val="a7"/>
      <w:framePr w:wrap="around" w:vAnchor="text" w:hAnchor="margin" w:xAlign="center" w:y="1"/>
      <w:rPr>
        <w:rStyle w:val="ab"/>
      </w:rPr>
    </w:pPr>
    <w:r>
      <w:rPr>
        <w:rStyle w:val="ab"/>
      </w:rPr>
      <w:fldChar w:fldCharType="begin"/>
    </w:r>
    <w:r w:rsidR="00002D9F">
      <w:rPr>
        <w:rStyle w:val="ab"/>
      </w:rPr>
      <w:instrText xml:space="preserve">PAGE  </w:instrText>
    </w:r>
    <w:r>
      <w:rPr>
        <w:rStyle w:val="ab"/>
      </w:rPr>
      <w:fldChar w:fldCharType="separate"/>
    </w:r>
    <w:r w:rsidR="00895A56">
      <w:rPr>
        <w:rStyle w:val="ab"/>
        <w:noProof/>
      </w:rPr>
      <w:t>2</w:t>
    </w:r>
    <w:r>
      <w:rPr>
        <w:rStyle w:val="ab"/>
      </w:rPr>
      <w:fldChar w:fldCharType="end"/>
    </w:r>
  </w:p>
  <w:p w:rsidR="00002D9F" w:rsidRDefault="00002D9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5C4B93"/>
    <w:multiLevelType w:val="hybridMultilevel"/>
    <w:tmpl w:val="244A7D20"/>
    <w:lvl w:ilvl="0" w:tplc="A0487FFE">
      <w:start w:val="1"/>
      <w:numFmt w:val="bullet"/>
      <w:lvlText w:val="•"/>
      <w:lvlJc w:val="left"/>
      <w:pPr>
        <w:tabs>
          <w:tab w:val="num" w:pos="360"/>
        </w:tabs>
        <w:ind w:left="360" w:hanging="360"/>
      </w:pPr>
      <w:rPr>
        <w:rFonts w:ascii="Times New Roman" w:hAnsi="Times New Roman" w:hint="default"/>
      </w:rPr>
    </w:lvl>
    <w:lvl w:ilvl="1" w:tplc="A3C6920C" w:tentative="1">
      <w:start w:val="1"/>
      <w:numFmt w:val="bullet"/>
      <w:lvlText w:val="•"/>
      <w:lvlJc w:val="left"/>
      <w:pPr>
        <w:tabs>
          <w:tab w:val="num" w:pos="1080"/>
        </w:tabs>
        <w:ind w:left="1080" w:hanging="360"/>
      </w:pPr>
      <w:rPr>
        <w:rFonts w:ascii="Times New Roman" w:hAnsi="Times New Roman" w:hint="default"/>
      </w:rPr>
    </w:lvl>
    <w:lvl w:ilvl="2" w:tplc="4BCAFF32" w:tentative="1">
      <w:start w:val="1"/>
      <w:numFmt w:val="bullet"/>
      <w:lvlText w:val="•"/>
      <w:lvlJc w:val="left"/>
      <w:pPr>
        <w:tabs>
          <w:tab w:val="num" w:pos="1800"/>
        </w:tabs>
        <w:ind w:left="1800" w:hanging="360"/>
      </w:pPr>
      <w:rPr>
        <w:rFonts w:ascii="Times New Roman" w:hAnsi="Times New Roman" w:hint="default"/>
      </w:rPr>
    </w:lvl>
    <w:lvl w:ilvl="3" w:tplc="D5C47D94" w:tentative="1">
      <w:start w:val="1"/>
      <w:numFmt w:val="bullet"/>
      <w:lvlText w:val="•"/>
      <w:lvlJc w:val="left"/>
      <w:pPr>
        <w:tabs>
          <w:tab w:val="num" w:pos="2520"/>
        </w:tabs>
        <w:ind w:left="2520" w:hanging="360"/>
      </w:pPr>
      <w:rPr>
        <w:rFonts w:ascii="Times New Roman" w:hAnsi="Times New Roman" w:hint="default"/>
      </w:rPr>
    </w:lvl>
    <w:lvl w:ilvl="4" w:tplc="F384D5A4" w:tentative="1">
      <w:start w:val="1"/>
      <w:numFmt w:val="bullet"/>
      <w:lvlText w:val="•"/>
      <w:lvlJc w:val="left"/>
      <w:pPr>
        <w:tabs>
          <w:tab w:val="num" w:pos="3240"/>
        </w:tabs>
        <w:ind w:left="3240" w:hanging="360"/>
      </w:pPr>
      <w:rPr>
        <w:rFonts w:ascii="Times New Roman" w:hAnsi="Times New Roman" w:hint="default"/>
      </w:rPr>
    </w:lvl>
    <w:lvl w:ilvl="5" w:tplc="7FF2C914" w:tentative="1">
      <w:start w:val="1"/>
      <w:numFmt w:val="bullet"/>
      <w:lvlText w:val="•"/>
      <w:lvlJc w:val="left"/>
      <w:pPr>
        <w:tabs>
          <w:tab w:val="num" w:pos="3960"/>
        </w:tabs>
        <w:ind w:left="3960" w:hanging="360"/>
      </w:pPr>
      <w:rPr>
        <w:rFonts w:ascii="Times New Roman" w:hAnsi="Times New Roman" w:hint="default"/>
      </w:rPr>
    </w:lvl>
    <w:lvl w:ilvl="6" w:tplc="8F726B6C" w:tentative="1">
      <w:start w:val="1"/>
      <w:numFmt w:val="bullet"/>
      <w:lvlText w:val="•"/>
      <w:lvlJc w:val="left"/>
      <w:pPr>
        <w:tabs>
          <w:tab w:val="num" w:pos="4680"/>
        </w:tabs>
        <w:ind w:left="4680" w:hanging="360"/>
      </w:pPr>
      <w:rPr>
        <w:rFonts w:ascii="Times New Roman" w:hAnsi="Times New Roman" w:hint="default"/>
      </w:rPr>
    </w:lvl>
    <w:lvl w:ilvl="7" w:tplc="7554865A" w:tentative="1">
      <w:start w:val="1"/>
      <w:numFmt w:val="bullet"/>
      <w:lvlText w:val="•"/>
      <w:lvlJc w:val="left"/>
      <w:pPr>
        <w:tabs>
          <w:tab w:val="num" w:pos="5400"/>
        </w:tabs>
        <w:ind w:left="5400" w:hanging="360"/>
      </w:pPr>
      <w:rPr>
        <w:rFonts w:ascii="Times New Roman" w:hAnsi="Times New Roman" w:hint="default"/>
      </w:rPr>
    </w:lvl>
    <w:lvl w:ilvl="8" w:tplc="D37A6704" w:tentative="1">
      <w:start w:val="1"/>
      <w:numFmt w:val="bullet"/>
      <w:lvlText w:val="•"/>
      <w:lvlJc w:val="left"/>
      <w:pPr>
        <w:tabs>
          <w:tab w:val="num" w:pos="6120"/>
        </w:tabs>
        <w:ind w:left="6120" w:hanging="360"/>
      </w:pPr>
      <w:rPr>
        <w:rFonts w:ascii="Times New Roman" w:hAnsi="Times New Roman" w:hint="default"/>
      </w:rPr>
    </w:lvl>
  </w:abstractNum>
  <w:abstractNum w:abstractNumId="1">
    <w:nsid w:val="6A2E2A82"/>
    <w:multiLevelType w:val="hybridMultilevel"/>
    <w:tmpl w:val="DB66979E"/>
    <w:lvl w:ilvl="0" w:tplc="FAE4889E">
      <w:start w:val="1"/>
      <w:numFmt w:val="bullet"/>
      <w:lvlText w:val="-"/>
      <w:lvlJc w:val="left"/>
      <w:pPr>
        <w:tabs>
          <w:tab w:val="num" w:pos="720"/>
        </w:tabs>
        <w:ind w:left="720" w:hanging="360"/>
      </w:pPr>
      <w:rPr>
        <w:rFonts w:ascii="Times New Roman" w:hAnsi="Times New Roman" w:hint="default"/>
      </w:rPr>
    </w:lvl>
    <w:lvl w:ilvl="1" w:tplc="978EAA06" w:tentative="1">
      <w:start w:val="1"/>
      <w:numFmt w:val="bullet"/>
      <w:lvlText w:val="-"/>
      <w:lvlJc w:val="left"/>
      <w:pPr>
        <w:tabs>
          <w:tab w:val="num" w:pos="1440"/>
        </w:tabs>
        <w:ind w:left="1440" w:hanging="360"/>
      </w:pPr>
      <w:rPr>
        <w:rFonts w:ascii="Times New Roman" w:hAnsi="Times New Roman" w:hint="default"/>
      </w:rPr>
    </w:lvl>
    <w:lvl w:ilvl="2" w:tplc="3BC68E34" w:tentative="1">
      <w:start w:val="1"/>
      <w:numFmt w:val="bullet"/>
      <w:lvlText w:val="-"/>
      <w:lvlJc w:val="left"/>
      <w:pPr>
        <w:tabs>
          <w:tab w:val="num" w:pos="2160"/>
        </w:tabs>
        <w:ind w:left="2160" w:hanging="360"/>
      </w:pPr>
      <w:rPr>
        <w:rFonts w:ascii="Times New Roman" w:hAnsi="Times New Roman" w:hint="default"/>
      </w:rPr>
    </w:lvl>
    <w:lvl w:ilvl="3" w:tplc="E3C24358" w:tentative="1">
      <w:start w:val="1"/>
      <w:numFmt w:val="bullet"/>
      <w:lvlText w:val="-"/>
      <w:lvlJc w:val="left"/>
      <w:pPr>
        <w:tabs>
          <w:tab w:val="num" w:pos="2880"/>
        </w:tabs>
        <w:ind w:left="2880" w:hanging="360"/>
      </w:pPr>
      <w:rPr>
        <w:rFonts w:ascii="Times New Roman" w:hAnsi="Times New Roman" w:hint="default"/>
      </w:rPr>
    </w:lvl>
    <w:lvl w:ilvl="4" w:tplc="E4DC5E90" w:tentative="1">
      <w:start w:val="1"/>
      <w:numFmt w:val="bullet"/>
      <w:lvlText w:val="-"/>
      <w:lvlJc w:val="left"/>
      <w:pPr>
        <w:tabs>
          <w:tab w:val="num" w:pos="3600"/>
        </w:tabs>
        <w:ind w:left="3600" w:hanging="360"/>
      </w:pPr>
      <w:rPr>
        <w:rFonts w:ascii="Times New Roman" w:hAnsi="Times New Roman" w:hint="default"/>
      </w:rPr>
    </w:lvl>
    <w:lvl w:ilvl="5" w:tplc="3FF645D2" w:tentative="1">
      <w:start w:val="1"/>
      <w:numFmt w:val="bullet"/>
      <w:lvlText w:val="-"/>
      <w:lvlJc w:val="left"/>
      <w:pPr>
        <w:tabs>
          <w:tab w:val="num" w:pos="4320"/>
        </w:tabs>
        <w:ind w:left="4320" w:hanging="360"/>
      </w:pPr>
      <w:rPr>
        <w:rFonts w:ascii="Times New Roman" w:hAnsi="Times New Roman" w:hint="default"/>
      </w:rPr>
    </w:lvl>
    <w:lvl w:ilvl="6" w:tplc="1EC84734" w:tentative="1">
      <w:start w:val="1"/>
      <w:numFmt w:val="bullet"/>
      <w:lvlText w:val="-"/>
      <w:lvlJc w:val="left"/>
      <w:pPr>
        <w:tabs>
          <w:tab w:val="num" w:pos="5040"/>
        </w:tabs>
        <w:ind w:left="5040" w:hanging="360"/>
      </w:pPr>
      <w:rPr>
        <w:rFonts w:ascii="Times New Roman" w:hAnsi="Times New Roman" w:hint="default"/>
      </w:rPr>
    </w:lvl>
    <w:lvl w:ilvl="7" w:tplc="E4F05B6C" w:tentative="1">
      <w:start w:val="1"/>
      <w:numFmt w:val="bullet"/>
      <w:lvlText w:val="-"/>
      <w:lvlJc w:val="left"/>
      <w:pPr>
        <w:tabs>
          <w:tab w:val="num" w:pos="5760"/>
        </w:tabs>
        <w:ind w:left="5760" w:hanging="360"/>
      </w:pPr>
      <w:rPr>
        <w:rFonts w:ascii="Times New Roman" w:hAnsi="Times New Roman" w:hint="default"/>
      </w:rPr>
    </w:lvl>
    <w:lvl w:ilvl="8" w:tplc="99528F82" w:tentative="1">
      <w:start w:val="1"/>
      <w:numFmt w:val="bullet"/>
      <w:lvlText w:val="-"/>
      <w:lvlJc w:val="left"/>
      <w:pPr>
        <w:tabs>
          <w:tab w:val="num" w:pos="6480"/>
        </w:tabs>
        <w:ind w:left="6480" w:hanging="360"/>
      </w:pPr>
      <w:rPr>
        <w:rFonts w:ascii="Times New Roman" w:hAnsi="Times New Roman" w:hint="default"/>
      </w:rPr>
    </w:lvl>
  </w:abstractNum>
  <w:abstractNum w:abstractNumId="2">
    <w:nsid w:val="7197068F"/>
    <w:multiLevelType w:val="hybridMultilevel"/>
    <w:tmpl w:val="E0D619C0"/>
    <w:lvl w:ilvl="0" w:tplc="BC96370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BD"/>
    <w:rsid w:val="00000A0A"/>
    <w:rsid w:val="00002D9F"/>
    <w:rsid w:val="0000709B"/>
    <w:rsid w:val="000113D4"/>
    <w:rsid w:val="000116AA"/>
    <w:rsid w:val="00012DF7"/>
    <w:rsid w:val="0003625C"/>
    <w:rsid w:val="00040385"/>
    <w:rsid w:val="000476A9"/>
    <w:rsid w:val="00072BB2"/>
    <w:rsid w:val="00074663"/>
    <w:rsid w:val="00080534"/>
    <w:rsid w:val="00092F98"/>
    <w:rsid w:val="00097F50"/>
    <w:rsid w:val="000A58C7"/>
    <w:rsid w:val="000A68F0"/>
    <w:rsid w:val="000A7B4E"/>
    <w:rsid w:val="000B24C8"/>
    <w:rsid w:val="000B6610"/>
    <w:rsid w:val="000B7AA5"/>
    <w:rsid w:val="000C2302"/>
    <w:rsid w:val="000C3BAB"/>
    <w:rsid w:val="000D19F5"/>
    <w:rsid w:val="000D5620"/>
    <w:rsid w:val="000D5B41"/>
    <w:rsid w:val="000E37FD"/>
    <w:rsid w:val="000E7555"/>
    <w:rsid w:val="000F1437"/>
    <w:rsid w:val="001000FB"/>
    <w:rsid w:val="00103130"/>
    <w:rsid w:val="00107A27"/>
    <w:rsid w:val="00114707"/>
    <w:rsid w:val="00124D90"/>
    <w:rsid w:val="0013178B"/>
    <w:rsid w:val="001356A7"/>
    <w:rsid w:val="001400EB"/>
    <w:rsid w:val="00147C18"/>
    <w:rsid w:val="00157B56"/>
    <w:rsid w:val="00162EC1"/>
    <w:rsid w:val="00163916"/>
    <w:rsid w:val="00163924"/>
    <w:rsid w:val="0017586E"/>
    <w:rsid w:val="00176E81"/>
    <w:rsid w:val="00186DEC"/>
    <w:rsid w:val="001926F3"/>
    <w:rsid w:val="001A637E"/>
    <w:rsid w:val="001B4C6C"/>
    <w:rsid w:val="001B7CD7"/>
    <w:rsid w:val="001C07D8"/>
    <w:rsid w:val="001C28E3"/>
    <w:rsid w:val="001C2981"/>
    <w:rsid w:val="001C379C"/>
    <w:rsid w:val="001C679C"/>
    <w:rsid w:val="001C790F"/>
    <w:rsid w:val="001D67C8"/>
    <w:rsid w:val="001E0585"/>
    <w:rsid w:val="001E1C5D"/>
    <w:rsid w:val="001F412A"/>
    <w:rsid w:val="00201676"/>
    <w:rsid w:val="00203126"/>
    <w:rsid w:val="00206720"/>
    <w:rsid w:val="00206999"/>
    <w:rsid w:val="00211E91"/>
    <w:rsid w:val="0021461D"/>
    <w:rsid w:val="00215C4B"/>
    <w:rsid w:val="00217E5C"/>
    <w:rsid w:val="00245FFD"/>
    <w:rsid w:val="00246BF2"/>
    <w:rsid w:val="00252064"/>
    <w:rsid w:val="00261491"/>
    <w:rsid w:val="00266702"/>
    <w:rsid w:val="00267393"/>
    <w:rsid w:val="00297E59"/>
    <w:rsid w:val="002A0CF9"/>
    <w:rsid w:val="002A2F36"/>
    <w:rsid w:val="002A4A19"/>
    <w:rsid w:val="002B23AB"/>
    <w:rsid w:val="002B2A7D"/>
    <w:rsid w:val="002B687F"/>
    <w:rsid w:val="002B69F0"/>
    <w:rsid w:val="002B7944"/>
    <w:rsid w:val="002C0C81"/>
    <w:rsid w:val="002C17BC"/>
    <w:rsid w:val="002C5E10"/>
    <w:rsid w:val="002D1839"/>
    <w:rsid w:val="002D40B1"/>
    <w:rsid w:val="002D5525"/>
    <w:rsid w:val="002E2E18"/>
    <w:rsid w:val="002E3D84"/>
    <w:rsid w:val="002E59E6"/>
    <w:rsid w:val="002F0A95"/>
    <w:rsid w:val="002F26FB"/>
    <w:rsid w:val="002F4948"/>
    <w:rsid w:val="002F685A"/>
    <w:rsid w:val="002F7B1B"/>
    <w:rsid w:val="00305B74"/>
    <w:rsid w:val="00310FA0"/>
    <w:rsid w:val="00315D97"/>
    <w:rsid w:val="003253EF"/>
    <w:rsid w:val="00326D7D"/>
    <w:rsid w:val="00333834"/>
    <w:rsid w:val="00334CEC"/>
    <w:rsid w:val="00341220"/>
    <w:rsid w:val="003434F1"/>
    <w:rsid w:val="00352BC2"/>
    <w:rsid w:val="00364969"/>
    <w:rsid w:val="003703BD"/>
    <w:rsid w:val="00371C74"/>
    <w:rsid w:val="00387E87"/>
    <w:rsid w:val="00395FFC"/>
    <w:rsid w:val="00397A00"/>
    <w:rsid w:val="003A2EDE"/>
    <w:rsid w:val="003A5327"/>
    <w:rsid w:val="003B1692"/>
    <w:rsid w:val="003B74CB"/>
    <w:rsid w:val="003C2361"/>
    <w:rsid w:val="003C52BB"/>
    <w:rsid w:val="003C7E05"/>
    <w:rsid w:val="003D21E5"/>
    <w:rsid w:val="003D355D"/>
    <w:rsid w:val="003E4469"/>
    <w:rsid w:val="003E5B89"/>
    <w:rsid w:val="003E6D3B"/>
    <w:rsid w:val="003F0A55"/>
    <w:rsid w:val="003F2EE8"/>
    <w:rsid w:val="003F6D4A"/>
    <w:rsid w:val="004070C4"/>
    <w:rsid w:val="00414164"/>
    <w:rsid w:val="0041564E"/>
    <w:rsid w:val="00423F55"/>
    <w:rsid w:val="00432C28"/>
    <w:rsid w:val="00436480"/>
    <w:rsid w:val="00436581"/>
    <w:rsid w:val="0043684E"/>
    <w:rsid w:val="00437B84"/>
    <w:rsid w:val="0044057C"/>
    <w:rsid w:val="00454AAD"/>
    <w:rsid w:val="004610C2"/>
    <w:rsid w:val="0046375D"/>
    <w:rsid w:val="00470031"/>
    <w:rsid w:val="0047769C"/>
    <w:rsid w:val="004838F8"/>
    <w:rsid w:val="004A4A1F"/>
    <w:rsid w:val="004A6CFD"/>
    <w:rsid w:val="004E0384"/>
    <w:rsid w:val="004F653D"/>
    <w:rsid w:val="00501A73"/>
    <w:rsid w:val="00503C53"/>
    <w:rsid w:val="005126ED"/>
    <w:rsid w:val="00514364"/>
    <w:rsid w:val="0052398A"/>
    <w:rsid w:val="005357AB"/>
    <w:rsid w:val="00545835"/>
    <w:rsid w:val="005521B1"/>
    <w:rsid w:val="00555165"/>
    <w:rsid w:val="00571AFD"/>
    <w:rsid w:val="00574183"/>
    <w:rsid w:val="005803FD"/>
    <w:rsid w:val="005812C4"/>
    <w:rsid w:val="005A400F"/>
    <w:rsid w:val="005B03F2"/>
    <w:rsid w:val="005B0613"/>
    <w:rsid w:val="005B0B6C"/>
    <w:rsid w:val="005B3BF5"/>
    <w:rsid w:val="005C5439"/>
    <w:rsid w:val="005D03B9"/>
    <w:rsid w:val="005D0B82"/>
    <w:rsid w:val="005E0BDE"/>
    <w:rsid w:val="005E0E01"/>
    <w:rsid w:val="005F3EE1"/>
    <w:rsid w:val="005F75A4"/>
    <w:rsid w:val="005F775C"/>
    <w:rsid w:val="0060199F"/>
    <w:rsid w:val="00607CC9"/>
    <w:rsid w:val="00613916"/>
    <w:rsid w:val="00622367"/>
    <w:rsid w:val="00624FD2"/>
    <w:rsid w:val="0063010C"/>
    <w:rsid w:val="00632232"/>
    <w:rsid w:val="00642E00"/>
    <w:rsid w:val="006531B1"/>
    <w:rsid w:val="00666C89"/>
    <w:rsid w:val="0066789F"/>
    <w:rsid w:val="006856A2"/>
    <w:rsid w:val="00695F21"/>
    <w:rsid w:val="00695FE6"/>
    <w:rsid w:val="006A2088"/>
    <w:rsid w:val="006A76D7"/>
    <w:rsid w:val="006B1575"/>
    <w:rsid w:val="006B2BF1"/>
    <w:rsid w:val="006C221D"/>
    <w:rsid w:val="006D0C72"/>
    <w:rsid w:val="006D548D"/>
    <w:rsid w:val="006D69FE"/>
    <w:rsid w:val="006F04F9"/>
    <w:rsid w:val="006F61F5"/>
    <w:rsid w:val="00707E93"/>
    <w:rsid w:val="00712018"/>
    <w:rsid w:val="00713E17"/>
    <w:rsid w:val="007153C0"/>
    <w:rsid w:val="00727121"/>
    <w:rsid w:val="007279FF"/>
    <w:rsid w:val="0073243A"/>
    <w:rsid w:val="007335A3"/>
    <w:rsid w:val="00735095"/>
    <w:rsid w:val="00737A10"/>
    <w:rsid w:val="0074021E"/>
    <w:rsid w:val="00745A78"/>
    <w:rsid w:val="0075219A"/>
    <w:rsid w:val="00761D8D"/>
    <w:rsid w:val="00764DBE"/>
    <w:rsid w:val="00765F45"/>
    <w:rsid w:val="00772DDE"/>
    <w:rsid w:val="00774847"/>
    <w:rsid w:val="00783EFE"/>
    <w:rsid w:val="00795960"/>
    <w:rsid w:val="007B1A51"/>
    <w:rsid w:val="007C1F6E"/>
    <w:rsid w:val="007C360E"/>
    <w:rsid w:val="007C7826"/>
    <w:rsid w:val="007D2979"/>
    <w:rsid w:val="007E2F32"/>
    <w:rsid w:val="007F1F16"/>
    <w:rsid w:val="007F21FE"/>
    <w:rsid w:val="007F4086"/>
    <w:rsid w:val="00805E9A"/>
    <w:rsid w:val="00810CBF"/>
    <w:rsid w:val="008178AA"/>
    <w:rsid w:val="00820CD6"/>
    <w:rsid w:val="00831727"/>
    <w:rsid w:val="008327AF"/>
    <w:rsid w:val="0084172B"/>
    <w:rsid w:val="00844B33"/>
    <w:rsid w:val="0084640C"/>
    <w:rsid w:val="00847CAE"/>
    <w:rsid w:val="00850400"/>
    <w:rsid w:val="00851BD9"/>
    <w:rsid w:val="00851F73"/>
    <w:rsid w:val="008528BA"/>
    <w:rsid w:val="00864E5A"/>
    <w:rsid w:val="00865BB0"/>
    <w:rsid w:val="00867D0B"/>
    <w:rsid w:val="00877613"/>
    <w:rsid w:val="00880B90"/>
    <w:rsid w:val="008820C9"/>
    <w:rsid w:val="00884101"/>
    <w:rsid w:val="00890707"/>
    <w:rsid w:val="00892231"/>
    <w:rsid w:val="00895A56"/>
    <w:rsid w:val="008A7B6F"/>
    <w:rsid w:val="008B025F"/>
    <w:rsid w:val="008B0582"/>
    <w:rsid w:val="008B4CE2"/>
    <w:rsid w:val="008C2F15"/>
    <w:rsid w:val="008D029D"/>
    <w:rsid w:val="008E1BD5"/>
    <w:rsid w:val="00900EA1"/>
    <w:rsid w:val="00911B65"/>
    <w:rsid w:val="00912002"/>
    <w:rsid w:val="00921956"/>
    <w:rsid w:val="00924378"/>
    <w:rsid w:val="009275C2"/>
    <w:rsid w:val="0093238C"/>
    <w:rsid w:val="0093686D"/>
    <w:rsid w:val="00951DD6"/>
    <w:rsid w:val="009522C6"/>
    <w:rsid w:val="00953091"/>
    <w:rsid w:val="009608DD"/>
    <w:rsid w:val="00964B35"/>
    <w:rsid w:val="00972E54"/>
    <w:rsid w:val="00973976"/>
    <w:rsid w:val="00976D52"/>
    <w:rsid w:val="00977A25"/>
    <w:rsid w:val="009829B1"/>
    <w:rsid w:val="0098781E"/>
    <w:rsid w:val="009923C7"/>
    <w:rsid w:val="0099780D"/>
    <w:rsid w:val="009A562D"/>
    <w:rsid w:val="009C3F19"/>
    <w:rsid w:val="009C5BBF"/>
    <w:rsid w:val="009D2544"/>
    <w:rsid w:val="009D5641"/>
    <w:rsid w:val="009E7ED6"/>
    <w:rsid w:val="00A06858"/>
    <w:rsid w:val="00A1770C"/>
    <w:rsid w:val="00A20982"/>
    <w:rsid w:val="00A34A7E"/>
    <w:rsid w:val="00A34A8E"/>
    <w:rsid w:val="00A41BD5"/>
    <w:rsid w:val="00A47550"/>
    <w:rsid w:val="00A62747"/>
    <w:rsid w:val="00A62D99"/>
    <w:rsid w:val="00A82155"/>
    <w:rsid w:val="00AA0E3F"/>
    <w:rsid w:val="00AA1E0F"/>
    <w:rsid w:val="00AC389E"/>
    <w:rsid w:val="00AC4709"/>
    <w:rsid w:val="00AD1357"/>
    <w:rsid w:val="00AD4EB1"/>
    <w:rsid w:val="00AD69F3"/>
    <w:rsid w:val="00AE077D"/>
    <w:rsid w:val="00AE25D3"/>
    <w:rsid w:val="00AE39D8"/>
    <w:rsid w:val="00AE435C"/>
    <w:rsid w:val="00AF2CC9"/>
    <w:rsid w:val="00AF2F2B"/>
    <w:rsid w:val="00B024B5"/>
    <w:rsid w:val="00B126DC"/>
    <w:rsid w:val="00B2023B"/>
    <w:rsid w:val="00B23BB9"/>
    <w:rsid w:val="00B261FE"/>
    <w:rsid w:val="00B27C95"/>
    <w:rsid w:val="00B3245D"/>
    <w:rsid w:val="00B35599"/>
    <w:rsid w:val="00B407AB"/>
    <w:rsid w:val="00B540EB"/>
    <w:rsid w:val="00B56D12"/>
    <w:rsid w:val="00B5750D"/>
    <w:rsid w:val="00B636AE"/>
    <w:rsid w:val="00B6393F"/>
    <w:rsid w:val="00B641FD"/>
    <w:rsid w:val="00B648BB"/>
    <w:rsid w:val="00B6713D"/>
    <w:rsid w:val="00B67481"/>
    <w:rsid w:val="00B72966"/>
    <w:rsid w:val="00B80AE9"/>
    <w:rsid w:val="00B87447"/>
    <w:rsid w:val="00B87A27"/>
    <w:rsid w:val="00B938AF"/>
    <w:rsid w:val="00BA0997"/>
    <w:rsid w:val="00BA5CF7"/>
    <w:rsid w:val="00BB0F51"/>
    <w:rsid w:val="00BB5B08"/>
    <w:rsid w:val="00BB7702"/>
    <w:rsid w:val="00BC1FFD"/>
    <w:rsid w:val="00BC44F6"/>
    <w:rsid w:val="00BD4876"/>
    <w:rsid w:val="00BD605A"/>
    <w:rsid w:val="00BD6C87"/>
    <w:rsid w:val="00BD768C"/>
    <w:rsid w:val="00BD7AD6"/>
    <w:rsid w:val="00BE12ED"/>
    <w:rsid w:val="00BE6DFD"/>
    <w:rsid w:val="00BF44E5"/>
    <w:rsid w:val="00C06248"/>
    <w:rsid w:val="00C06DCC"/>
    <w:rsid w:val="00C118AA"/>
    <w:rsid w:val="00C1514B"/>
    <w:rsid w:val="00C16E85"/>
    <w:rsid w:val="00C20630"/>
    <w:rsid w:val="00C27FFC"/>
    <w:rsid w:val="00C33453"/>
    <w:rsid w:val="00C43807"/>
    <w:rsid w:val="00C855BF"/>
    <w:rsid w:val="00CA0140"/>
    <w:rsid w:val="00CA1863"/>
    <w:rsid w:val="00CA6615"/>
    <w:rsid w:val="00CA7FF3"/>
    <w:rsid w:val="00CB1549"/>
    <w:rsid w:val="00CB28AC"/>
    <w:rsid w:val="00CC22C8"/>
    <w:rsid w:val="00CC322F"/>
    <w:rsid w:val="00CC3FD5"/>
    <w:rsid w:val="00CC4AED"/>
    <w:rsid w:val="00CD1899"/>
    <w:rsid w:val="00CE1828"/>
    <w:rsid w:val="00CE73F5"/>
    <w:rsid w:val="00CE7676"/>
    <w:rsid w:val="00CE7BB9"/>
    <w:rsid w:val="00D01938"/>
    <w:rsid w:val="00D02E87"/>
    <w:rsid w:val="00D21F91"/>
    <w:rsid w:val="00D2314C"/>
    <w:rsid w:val="00D2451E"/>
    <w:rsid w:val="00D37FB9"/>
    <w:rsid w:val="00D40C8B"/>
    <w:rsid w:val="00D43683"/>
    <w:rsid w:val="00D541B8"/>
    <w:rsid w:val="00D759B4"/>
    <w:rsid w:val="00D77475"/>
    <w:rsid w:val="00D81D95"/>
    <w:rsid w:val="00D8751A"/>
    <w:rsid w:val="00D87E6F"/>
    <w:rsid w:val="00D9651F"/>
    <w:rsid w:val="00D97CD9"/>
    <w:rsid w:val="00D97EA9"/>
    <w:rsid w:val="00DB2259"/>
    <w:rsid w:val="00DB5F34"/>
    <w:rsid w:val="00DC4AC4"/>
    <w:rsid w:val="00DC4D3D"/>
    <w:rsid w:val="00DD1CF0"/>
    <w:rsid w:val="00DE3405"/>
    <w:rsid w:val="00DE59EE"/>
    <w:rsid w:val="00DE7E90"/>
    <w:rsid w:val="00DE7FDA"/>
    <w:rsid w:val="00DF000A"/>
    <w:rsid w:val="00DF2B43"/>
    <w:rsid w:val="00E03951"/>
    <w:rsid w:val="00E05081"/>
    <w:rsid w:val="00E06F41"/>
    <w:rsid w:val="00E105C1"/>
    <w:rsid w:val="00E212C8"/>
    <w:rsid w:val="00E21C11"/>
    <w:rsid w:val="00E307D9"/>
    <w:rsid w:val="00E434C9"/>
    <w:rsid w:val="00E714F3"/>
    <w:rsid w:val="00E73AC8"/>
    <w:rsid w:val="00E73F8F"/>
    <w:rsid w:val="00E82BFE"/>
    <w:rsid w:val="00E90A15"/>
    <w:rsid w:val="00E94786"/>
    <w:rsid w:val="00E97AA4"/>
    <w:rsid w:val="00EA1E1A"/>
    <w:rsid w:val="00EA6893"/>
    <w:rsid w:val="00EB09EC"/>
    <w:rsid w:val="00EC0F14"/>
    <w:rsid w:val="00EC47C7"/>
    <w:rsid w:val="00EE1654"/>
    <w:rsid w:val="00EE4693"/>
    <w:rsid w:val="00EF35CB"/>
    <w:rsid w:val="00F043C2"/>
    <w:rsid w:val="00F10790"/>
    <w:rsid w:val="00F16456"/>
    <w:rsid w:val="00F16511"/>
    <w:rsid w:val="00F167D5"/>
    <w:rsid w:val="00F24740"/>
    <w:rsid w:val="00F25A9F"/>
    <w:rsid w:val="00F27492"/>
    <w:rsid w:val="00F3568A"/>
    <w:rsid w:val="00F41F61"/>
    <w:rsid w:val="00F44581"/>
    <w:rsid w:val="00F52F18"/>
    <w:rsid w:val="00F53CA1"/>
    <w:rsid w:val="00F56046"/>
    <w:rsid w:val="00F6297D"/>
    <w:rsid w:val="00F62B70"/>
    <w:rsid w:val="00F67F6D"/>
    <w:rsid w:val="00F71D28"/>
    <w:rsid w:val="00F804B9"/>
    <w:rsid w:val="00F80532"/>
    <w:rsid w:val="00F83E02"/>
    <w:rsid w:val="00F84BAF"/>
    <w:rsid w:val="00F90886"/>
    <w:rsid w:val="00F90CBD"/>
    <w:rsid w:val="00F94CF7"/>
    <w:rsid w:val="00F95EBB"/>
    <w:rsid w:val="00FA3B10"/>
    <w:rsid w:val="00FA3C33"/>
    <w:rsid w:val="00FB7B29"/>
    <w:rsid w:val="00FC3BD9"/>
    <w:rsid w:val="00FD186C"/>
    <w:rsid w:val="00FD20C2"/>
    <w:rsid w:val="00FE539D"/>
    <w:rsid w:val="00FF16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94F2DD2-9135-4037-B07B-213396DC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CB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Знак Знак1 Знак Знак,Знак Зн"/>
    <w:basedOn w:val="a"/>
    <w:link w:val="a4"/>
    <w:uiPriority w:val="99"/>
    <w:qFormat/>
    <w:rsid w:val="00F90CBD"/>
    <w:pPr>
      <w:spacing w:after="240"/>
    </w:pPr>
  </w:style>
  <w:style w:type="paragraph" w:styleId="2">
    <w:name w:val="Body Text Indent 2"/>
    <w:basedOn w:val="a"/>
    <w:rsid w:val="00F90CBD"/>
    <w:pPr>
      <w:spacing w:after="120" w:line="480" w:lineRule="auto"/>
      <w:ind w:left="283"/>
    </w:pPr>
    <w:rPr>
      <w:sz w:val="20"/>
      <w:szCs w:val="20"/>
    </w:rPr>
  </w:style>
  <w:style w:type="paragraph" w:customStyle="1" w:styleId="21">
    <w:name w:val="Основной текст с отступом 21"/>
    <w:basedOn w:val="a"/>
    <w:rsid w:val="00F90CBD"/>
    <w:pPr>
      <w:tabs>
        <w:tab w:val="left" w:pos="567"/>
      </w:tabs>
      <w:overflowPunct w:val="0"/>
      <w:autoSpaceDE w:val="0"/>
      <w:autoSpaceDN w:val="0"/>
      <w:adjustRightInd w:val="0"/>
      <w:ind w:firstLine="567"/>
      <w:jc w:val="both"/>
    </w:pPr>
    <w:rPr>
      <w:szCs w:val="20"/>
    </w:rPr>
  </w:style>
  <w:style w:type="table" w:styleId="a5">
    <w:name w:val="Table Grid"/>
    <w:basedOn w:val="a1"/>
    <w:rsid w:val="00F90C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B87447"/>
    <w:rPr>
      <w:rFonts w:ascii="Tahoma" w:hAnsi="Tahoma" w:cs="Tahoma"/>
      <w:sz w:val="16"/>
      <w:szCs w:val="16"/>
    </w:rPr>
  </w:style>
  <w:style w:type="paragraph" w:styleId="a7">
    <w:name w:val="header"/>
    <w:basedOn w:val="a"/>
    <w:link w:val="a8"/>
    <w:rsid w:val="00E434C9"/>
    <w:pPr>
      <w:tabs>
        <w:tab w:val="center" w:pos="4153"/>
        <w:tab w:val="right" w:pos="8306"/>
      </w:tabs>
    </w:pPr>
    <w:rPr>
      <w:sz w:val="20"/>
      <w:szCs w:val="20"/>
    </w:rPr>
  </w:style>
  <w:style w:type="character" w:customStyle="1" w:styleId="a8">
    <w:name w:val="Верхний колонтитул Знак"/>
    <w:link w:val="a7"/>
    <w:semiHidden/>
    <w:locked/>
    <w:rsid w:val="00E434C9"/>
    <w:rPr>
      <w:lang w:val="ru-RU" w:eastAsia="ru-RU" w:bidi="ar-SA"/>
    </w:rPr>
  </w:style>
  <w:style w:type="paragraph" w:styleId="a9">
    <w:name w:val="Title"/>
    <w:basedOn w:val="a"/>
    <w:qFormat/>
    <w:rsid w:val="0063010C"/>
    <w:pPr>
      <w:jc w:val="center"/>
    </w:pPr>
    <w:rPr>
      <w:szCs w:val="20"/>
    </w:rPr>
  </w:style>
  <w:style w:type="paragraph" w:styleId="aa">
    <w:name w:val="Body Text"/>
    <w:basedOn w:val="a"/>
    <w:rsid w:val="00CB28AC"/>
    <w:pPr>
      <w:spacing w:after="120"/>
    </w:pPr>
  </w:style>
  <w:style w:type="character" w:customStyle="1" w:styleId="grame">
    <w:name w:val="grame"/>
    <w:basedOn w:val="a0"/>
    <w:rsid w:val="00BD4876"/>
  </w:style>
  <w:style w:type="character" w:styleId="ab">
    <w:name w:val="page number"/>
    <w:basedOn w:val="a0"/>
    <w:rsid w:val="007C7826"/>
  </w:style>
  <w:style w:type="paragraph" w:styleId="ac">
    <w:name w:val="Body Text Indent"/>
    <w:basedOn w:val="a"/>
    <w:rsid w:val="003A2EDE"/>
    <w:pPr>
      <w:spacing w:after="120"/>
      <w:ind w:left="283"/>
    </w:pPr>
  </w:style>
  <w:style w:type="character" w:customStyle="1" w:styleId="a4">
    <w:name w:val="Обычный (веб) Знак"/>
    <w:aliases w:val="Обычный (Web) Знак1,Обычный (Web)1 Знак1,Обычный (веб) Знак1 Знак1,Обычный (веб) Знак Знак1 Знак1,Обычный (веб) Знак Знак Знак Знак2, Знак Знак1 Знак Знак Знак,Обычный (веб) Знак Знак Знак Знак Знак1, Знак Знак Знак Знак Знак Знак"/>
    <w:link w:val="a3"/>
    <w:uiPriority w:val="99"/>
    <w:locked/>
    <w:rsid w:val="006531B1"/>
    <w:rPr>
      <w:sz w:val="24"/>
      <w:szCs w:val="24"/>
      <w:lang w:val="ru-RU" w:eastAsia="ru-RU" w:bidi="ar-SA"/>
    </w:rPr>
  </w:style>
  <w:style w:type="character" w:customStyle="1" w:styleId="Web">
    <w:name w:val="Обычный (Web)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ocked/>
    <w:rsid w:val="00CC4AED"/>
    <w:rPr>
      <w:sz w:val="24"/>
      <w:szCs w:val="24"/>
    </w:rPr>
  </w:style>
  <w:style w:type="paragraph" w:styleId="20">
    <w:name w:val="Body Text 2"/>
    <w:basedOn w:val="a"/>
    <w:rsid w:val="007F21FE"/>
    <w:pPr>
      <w:spacing w:after="120" w:line="480" w:lineRule="auto"/>
    </w:pPr>
  </w:style>
  <w:style w:type="paragraph" w:customStyle="1" w:styleId="txt">
    <w:name w:val="txt"/>
    <w:basedOn w:val="a"/>
    <w:rsid w:val="007F21FE"/>
    <w:pPr>
      <w:spacing w:before="100" w:beforeAutospacing="1" w:after="100" w:afterAutospacing="1"/>
    </w:pPr>
  </w:style>
  <w:style w:type="paragraph" w:styleId="ad">
    <w:name w:val="List Paragraph"/>
    <w:basedOn w:val="a"/>
    <w:uiPriority w:val="34"/>
    <w:qFormat/>
    <w:rsid w:val="00AD4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3308">
      <w:bodyDiv w:val="1"/>
      <w:marLeft w:val="0"/>
      <w:marRight w:val="0"/>
      <w:marTop w:val="0"/>
      <w:marBottom w:val="0"/>
      <w:divBdr>
        <w:top w:val="none" w:sz="0" w:space="0" w:color="auto"/>
        <w:left w:val="none" w:sz="0" w:space="0" w:color="auto"/>
        <w:bottom w:val="none" w:sz="0" w:space="0" w:color="auto"/>
        <w:right w:val="none" w:sz="0" w:space="0" w:color="auto"/>
      </w:divBdr>
    </w:div>
    <w:div w:id="379744913">
      <w:bodyDiv w:val="1"/>
      <w:marLeft w:val="0"/>
      <w:marRight w:val="0"/>
      <w:marTop w:val="0"/>
      <w:marBottom w:val="0"/>
      <w:divBdr>
        <w:top w:val="none" w:sz="0" w:space="0" w:color="auto"/>
        <w:left w:val="none" w:sz="0" w:space="0" w:color="auto"/>
        <w:bottom w:val="none" w:sz="0" w:space="0" w:color="auto"/>
        <w:right w:val="none" w:sz="0" w:space="0" w:color="auto"/>
      </w:divBdr>
    </w:div>
    <w:div w:id="414281940">
      <w:bodyDiv w:val="1"/>
      <w:marLeft w:val="0"/>
      <w:marRight w:val="0"/>
      <w:marTop w:val="0"/>
      <w:marBottom w:val="0"/>
      <w:divBdr>
        <w:top w:val="none" w:sz="0" w:space="0" w:color="auto"/>
        <w:left w:val="none" w:sz="0" w:space="0" w:color="auto"/>
        <w:bottom w:val="none" w:sz="0" w:space="0" w:color="auto"/>
        <w:right w:val="none" w:sz="0" w:space="0" w:color="auto"/>
      </w:divBdr>
    </w:div>
    <w:div w:id="561867552">
      <w:bodyDiv w:val="1"/>
      <w:marLeft w:val="0"/>
      <w:marRight w:val="0"/>
      <w:marTop w:val="0"/>
      <w:marBottom w:val="0"/>
      <w:divBdr>
        <w:top w:val="none" w:sz="0" w:space="0" w:color="auto"/>
        <w:left w:val="none" w:sz="0" w:space="0" w:color="auto"/>
        <w:bottom w:val="none" w:sz="0" w:space="0" w:color="auto"/>
        <w:right w:val="none" w:sz="0" w:space="0" w:color="auto"/>
      </w:divBdr>
    </w:div>
    <w:div w:id="1079910296">
      <w:bodyDiv w:val="1"/>
      <w:marLeft w:val="0"/>
      <w:marRight w:val="0"/>
      <w:marTop w:val="0"/>
      <w:marBottom w:val="0"/>
      <w:divBdr>
        <w:top w:val="none" w:sz="0" w:space="0" w:color="auto"/>
        <w:left w:val="none" w:sz="0" w:space="0" w:color="auto"/>
        <w:bottom w:val="none" w:sz="0" w:space="0" w:color="auto"/>
        <w:right w:val="none" w:sz="0" w:space="0" w:color="auto"/>
      </w:divBdr>
    </w:div>
    <w:div w:id="1267037721">
      <w:bodyDiv w:val="1"/>
      <w:marLeft w:val="0"/>
      <w:marRight w:val="0"/>
      <w:marTop w:val="0"/>
      <w:marBottom w:val="0"/>
      <w:divBdr>
        <w:top w:val="none" w:sz="0" w:space="0" w:color="auto"/>
        <w:left w:val="none" w:sz="0" w:space="0" w:color="auto"/>
        <w:bottom w:val="none" w:sz="0" w:space="0" w:color="auto"/>
        <w:right w:val="none" w:sz="0" w:space="0" w:color="auto"/>
      </w:divBdr>
    </w:div>
    <w:div w:id="1418013727">
      <w:bodyDiv w:val="1"/>
      <w:marLeft w:val="0"/>
      <w:marRight w:val="0"/>
      <w:marTop w:val="0"/>
      <w:marBottom w:val="0"/>
      <w:divBdr>
        <w:top w:val="none" w:sz="0" w:space="0" w:color="auto"/>
        <w:left w:val="none" w:sz="0" w:space="0" w:color="auto"/>
        <w:bottom w:val="none" w:sz="0" w:space="0" w:color="auto"/>
        <w:right w:val="none" w:sz="0" w:space="0" w:color="auto"/>
      </w:divBdr>
    </w:div>
    <w:div w:id="1783376442">
      <w:bodyDiv w:val="1"/>
      <w:marLeft w:val="0"/>
      <w:marRight w:val="0"/>
      <w:marTop w:val="0"/>
      <w:marBottom w:val="0"/>
      <w:divBdr>
        <w:top w:val="none" w:sz="0" w:space="0" w:color="auto"/>
        <w:left w:val="none" w:sz="0" w:space="0" w:color="auto"/>
        <w:bottom w:val="none" w:sz="0" w:space="0" w:color="auto"/>
        <w:right w:val="none" w:sz="0" w:space="0" w:color="auto"/>
      </w:divBdr>
    </w:div>
    <w:div w:id="209396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view3D>
      <c:rotX val="15"/>
      <c:hPercent val="20"/>
      <c:rotY val="20"/>
      <c:depthPercent val="100"/>
      <c:rAngAx val="1"/>
    </c:view3D>
    <c:floor>
      <c:thickness val="0"/>
    </c:floor>
    <c:sideWall>
      <c:thickness val="0"/>
    </c:sideWall>
    <c:backWall>
      <c:thickness val="0"/>
    </c:backWall>
    <c:plotArea>
      <c:layout>
        <c:manualLayout>
          <c:layoutTarget val="inner"/>
          <c:xMode val="edge"/>
          <c:yMode val="edge"/>
          <c:x val="8.3412436348682215E-2"/>
          <c:y val="0.1361990756590209"/>
          <c:w val="0.90995907230559403"/>
          <c:h val="0.73122529644268808"/>
        </c:manualLayout>
      </c:layout>
      <c:bar3DChart>
        <c:barDir val="col"/>
        <c:grouping val="clustered"/>
        <c:varyColors val="0"/>
        <c:ser>
          <c:idx val="0"/>
          <c:order val="0"/>
          <c:tx>
            <c:strRef>
              <c:f>Sheet1!$A$2</c:f>
              <c:strCache>
                <c:ptCount val="1"/>
                <c:pt idx="0">
                  <c:v>Кумулятивный показатель</c:v>
                </c:pt>
              </c:strCache>
            </c:strRef>
          </c:tx>
          <c:spPr>
            <a:solidFill>
              <a:srgbClr val="9BBB59">
                <a:lumMod val="75000"/>
                <a:alpha val="95000"/>
              </a:srgbClr>
            </a:solidFill>
            <a:scene3d>
              <a:camera prst="orthographicFront"/>
              <a:lightRig rig="threePt" dir="t"/>
            </a:scene3d>
            <a:sp3d>
              <a:bevelT w="152400" h="50800" prst="softRound"/>
              <a:contourClr>
                <a:srgbClr val="000000"/>
              </a:contourClr>
            </a:sp3d>
          </c:spPr>
          <c:invertIfNegative val="0"/>
          <c:dLbls>
            <c:dLbl>
              <c:idx val="0"/>
              <c:layout>
                <c:manualLayout>
                  <c:x val="1.0643599629877562E-2"/>
                  <c:y val="-8.68485248759703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8DB-45DA-83E0-6C91F54F0681}"/>
                </c:ext>
                <c:ext xmlns:c15="http://schemas.microsoft.com/office/drawing/2012/chart" uri="{CE6537A1-D6FC-4f65-9D91-7224C49458BB}">
                  <c15:layout>
                    <c:manualLayout>
                      <c:w val="1.6074255613544666E-2"/>
                      <c:h val="5.1505644987335751E-2"/>
                    </c:manualLayout>
                  </c15:layout>
                </c:ext>
              </c:extLst>
            </c:dLbl>
            <c:dLbl>
              <c:idx val="1"/>
              <c:layout>
                <c:manualLayout>
                  <c:x val="6.9345793342496589E-3"/>
                  <c:y val="3.804556906853817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8DB-45DA-83E0-6C91F54F0681}"/>
                </c:ext>
                <c:ext xmlns:c15="http://schemas.microsoft.com/office/drawing/2012/chart" uri="{CE6537A1-D6FC-4f65-9D91-7224C49458BB}"/>
              </c:extLst>
            </c:dLbl>
            <c:dLbl>
              <c:idx val="2"/>
              <c:layout>
                <c:manualLayout>
                  <c:x val="2.2658592087904882E-3"/>
                  <c:y val="-1.361768414311160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8DB-45DA-83E0-6C91F54F0681}"/>
                </c:ext>
                <c:ext xmlns:c15="http://schemas.microsoft.com/office/drawing/2012/chart" uri="{CE6537A1-D6FC-4f65-9D91-7224C49458BB}"/>
              </c:extLst>
            </c:dLbl>
            <c:dLbl>
              <c:idx val="3"/>
              <c:layout>
                <c:manualLayout>
                  <c:x val="5.1663974592660675E-3"/>
                  <c:y val="-2.2988007320595301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8DB-45DA-83E0-6C91F54F0681}"/>
                </c:ext>
                <c:ext xmlns:c15="http://schemas.microsoft.com/office/drawing/2012/chart" uri="{CE6537A1-D6FC-4f65-9D91-7224C49458BB}"/>
              </c:extLst>
            </c:dLbl>
            <c:dLbl>
              <c:idx val="4"/>
              <c:layout>
                <c:manualLayout>
                  <c:x val="4.9598630854229154E-3"/>
                  <c:y val="-7.321972198687543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8DB-45DA-83E0-6C91F54F0681}"/>
                </c:ext>
                <c:ext xmlns:c15="http://schemas.microsoft.com/office/drawing/2012/chart" uri="{CE6537A1-D6FC-4f65-9D91-7224C49458BB}">
                  <c15:layout>
                    <c:manualLayout>
                      <c:w val="2.3412502741467226E-2"/>
                      <c:h val="4.4445241287906584E-2"/>
                    </c:manualLayout>
                  </c15:layout>
                </c:ext>
              </c:extLst>
            </c:dLbl>
            <c:dLbl>
              <c:idx val="5"/>
              <c:layout>
                <c:manualLayout>
                  <c:x val="5.4224991914284051E-3"/>
                  <c:y val="5.8214462322644456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8DB-45DA-83E0-6C91F54F0681}"/>
                </c:ext>
                <c:ext xmlns:c15="http://schemas.microsoft.com/office/drawing/2012/chart" uri="{CE6537A1-D6FC-4f65-9D91-7224C49458BB}"/>
              </c:extLst>
            </c:dLbl>
            <c:dLbl>
              <c:idx val="6"/>
              <c:layout>
                <c:manualLayout>
                  <c:x val="4.6731913109045679E-3"/>
                  <c:y val="-6.2570743021319079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8DB-45DA-83E0-6C91F54F0681}"/>
                </c:ext>
                <c:ext xmlns:c15="http://schemas.microsoft.com/office/drawing/2012/chart" uri="{CE6537A1-D6FC-4f65-9D91-7224C49458BB}"/>
              </c:extLst>
            </c:dLbl>
            <c:dLbl>
              <c:idx val="7"/>
              <c:layout>
                <c:manualLayout>
                  <c:x val="3.0956653691439364E-3"/>
                  <c:y val="5.94435957135010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8DB-45DA-83E0-6C91F54F0681}"/>
                </c:ext>
                <c:ext xmlns:c15="http://schemas.microsoft.com/office/drawing/2012/chart" uri="{CE6537A1-D6FC-4f65-9D91-7224C49458BB}"/>
              </c:extLst>
            </c:dLbl>
            <c:dLbl>
              <c:idx val="8"/>
              <c:layout>
                <c:manualLayout>
                  <c:x val="2.8896469013137147E-3"/>
                  <c:y val="5.031788494766406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8DB-45DA-83E0-6C91F54F0681}"/>
                </c:ext>
                <c:ext xmlns:c15="http://schemas.microsoft.com/office/drawing/2012/chart" uri="{CE6537A1-D6FC-4f65-9D91-7224C49458BB}"/>
              </c:extLst>
            </c:dLbl>
            <c:dLbl>
              <c:idx val="9"/>
              <c:layout>
                <c:manualLayout>
                  <c:x val="6.8130548067593779E-3"/>
                  <c:y val="2.496436441912335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8DB-45DA-83E0-6C91F54F0681}"/>
                </c:ext>
                <c:ext xmlns:c15="http://schemas.microsoft.com/office/drawing/2012/chart" uri="{CE6537A1-D6FC-4f65-9D91-7224C49458BB}"/>
              </c:extLst>
            </c:dLbl>
            <c:dLbl>
              <c:idx val="10"/>
              <c:layout>
                <c:manualLayout>
                  <c:x val="5.3634735562054416E-3"/>
                  <c:y val="5.963261439521805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B8DB-45DA-83E0-6C91F54F0681}"/>
                </c:ext>
                <c:ext xmlns:c15="http://schemas.microsoft.com/office/drawing/2012/chart" uri="{CE6537A1-D6FC-4f65-9D91-7224C49458BB}"/>
              </c:extLst>
            </c:dLbl>
            <c:dLbl>
              <c:idx val="11"/>
              <c:layout>
                <c:manualLayout>
                  <c:x val="3.4195396994835476E-3"/>
                  <c:y val="5.902942242562114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B8DB-45DA-83E0-6C91F54F0681}"/>
                </c:ext>
                <c:ext xmlns:c15="http://schemas.microsoft.com/office/drawing/2012/chart" uri="{CE6537A1-D6FC-4f65-9D91-7224C49458BB}"/>
              </c:extLst>
            </c:dLbl>
            <c:dLbl>
              <c:idx val="12"/>
              <c:layout>
                <c:manualLayout>
                  <c:x val="-4.9458189772936764E-4"/>
                  <c:y val="9.805285967160987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B8DB-45DA-83E0-6C91F54F0681}"/>
                </c:ext>
                <c:ext xmlns:c15="http://schemas.microsoft.com/office/drawing/2012/chart" uri="{CE6537A1-D6FC-4f65-9D91-7224C49458BB}"/>
              </c:extLst>
            </c:dLbl>
            <c:dLbl>
              <c:idx val="13"/>
              <c:layout>
                <c:manualLayout>
                  <c:x val="8.091951989147356E-3"/>
                  <c:y val="7.871928994741381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B8DB-45DA-83E0-6C91F54F0681}"/>
                </c:ext>
                <c:ext xmlns:c15="http://schemas.microsoft.com/office/drawing/2012/chart" uri="{CE6537A1-D6FC-4f65-9D91-7224C49458BB}">
                  <c15:layout>
                    <c:manualLayout>
                      <c:w val="4.5731959066914386E-2"/>
                      <c:h val="7.0361611159029142E-2"/>
                    </c:manualLayout>
                  </c15:layout>
                </c:ext>
              </c:extLst>
            </c:dLbl>
            <c:dLbl>
              <c:idx val="14"/>
              <c:layout>
                <c:manualLayout>
                  <c:x val="6.003311320172261E-3"/>
                  <c:y val="1.6126389998351656E-2"/>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B8DB-45DA-83E0-6C91F54F0681}"/>
                </c:ext>
                <c:ext xmlns:c15="http://schemas.microsoft.com/office/drawing/2012/chart" uri="{CE6537A1-D6FC-4f65-9D91-7224C49458BB}"/>
              </c:extLst>
            </c:dLbl>
            <c:dLbl>
              <c:idx val="15"/>
              <c:layout>
                <c:manualLayout>
                  <c:x val="5.0292811056072218E-3"/>
                  <c:y val="7.208560989657278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B8DB-45DA-83E0-6C91F54F0681}"/>
                </c:ext>
                <c:ext xmlns:c15="http://schemas.microsoft.com/office/drawing/2012/chart" uri="{CE6537A1-D6FC-4f65-9D91-7224C49458BB}"/>
              </c:extLst>
            </c:dLbl>
            <c:dLbl>
              <c:idx val="16"/>
              <c:layout>
                <c:manualLayout>
                  <c:x val="2.7786697856433448E-3"/>
                  <c:y val="-1.683100173230127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B8DB-45DA-83E0-6C91F54F0681}"/>
                </c:ext>
                <c:ext xmlns:c15="http://schemas.microsoft.com/office/drawing/2012/chart" uri="{CE6537A1-D6FC-4f65-9D91-7224C49458BB}"/>
              </c:extLst>
            </c:dLbl>
            <c:dLbl>
              <c:idx val="17"/>
              <c:layout>
                <c:manualLayout>
                  <c:x val="1.1769535841653083E-3"/>
                  <c:y val="3.171900260401031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B8DB-45DA-83E0-6C91F54F0681}"/>
                </c:ext>
                <c:ext xmlns:c15="http://schemas.microsoft.com/office/drawing/2012/chart" uri="{CE6537A1-D6FC-4f65-9D91-7224C49458BB}"/>
              </c:extLst>
            </c:dLbl>
            <c:dLbl>
              <c:idx val="18"/>
              <c:layout>
                <c:manualLayout>
                  <c:x val="2.3766230599378E-3"/>
                  <c:y val="-7.403103484085180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B8DB-45DA-83E0-6C91F54F0681}"/>
                </c:ext>
                <c:ext xmlns:c15="http://schemas.microsoft.com/office/drawing/2012/chart" uri="{CE6537A1-D6FC-4f65-9D91-7224C49458BB}">
                  <c15:layout>
                    <c:manualLayout>
                      <c:w val="3.8241322362794539E-2"/>
                      <c:h val="6.0891461005536836E-2"/>
                    </c:manualLayout>
                  </c15:layout>
                </c:ext>
              </c:extLst>
            </c:dLbl>
            <c:dLbl>
              <c:idx val="19"/>
              <c:layout>
                <c:manualLayout>
                  <c:x val="-4.9148646165173156E-4"/>
                  <c:y val="4.678833750432358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B8DB-45DA-83E0-6C91F54F0681}"/>
                </c:ext>
                <c:ext xmlns:c15="http://schemas.microsoft.com/office/drawing/2012/chart" uri="{CE6537A1-D6FC-4f65-9D91-7224C49458BB}"/>
              </c:extLst>
            </c:dLbl>
            <c:dLbl>
              <c:idx val="20"/>
              <c:layout>
                <c:manualLayout>
                  <c:x val="-2.2229816868269362E-3"/>
                  <c:y val="4.817752634586796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B8DB-45DA-83E0-6C91F54F0681}"/>
                </c:ext>
                <c:ext xmlns:c15="http://schemas.microsoft.com/office/drawing/2012/chart" uri="{CE6537A1-D6FC-4f65-9D91-7224C49458BB}"/>
              </c:extLst>
            </c:dLbl>
            <c:dLbl>
              <c:idx val="21"/>
              <c:layout>
                <c:manualLayout>
                  <c:x val="-7.4909553077510418E-4"/>
                  <c:y val="-4.598713338714871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B8DB-45DA-83E0-6C91F54F0681}"/>
                </c:ext>
                <c:ext xmlns:c15="http://schemas.microsoft.com/office/drawing/2012/chart" uri="{CE6537A1-D6FC-4f65-9D91-7224C49458BB}"/>
              </c:extLst>
            </c:dLbl>
            <c:dLbl>
              <c:idx val="22"/>
              <c:layout>
                <c:manualLayout>
                  <c:x val="-2.4981315603899439E-3"/>
                  <c:y val="4.257367837025804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B8DB-45DA-83E0-6C91F54F0681}"/>
                </c:ext>
                <c:ext xmlns:c15="http://schemas.microsoft.com/office/drawing/2012/chart" uri="{CE6537A1-D6FC-4f65-9D91-7224C49458BB}"/>
              </c:extLst>
            </c:dLbl>
            <c:dLbl>
              <c:idx val="23"/>
              <c:layout>
                <c:manualLayout>
                  <c:x val="-2.9512116855234137E-3"/>
                  <c:y val="-4.264595021915048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B8DB-45DA-83E0-6C91F54F0681}"/>
                </c:ext>
                <c:ext xmlns:c15="http://schemas.microsoft.com/office/drawing/2012/chart" uri="{CE6537A1-D6FC-4f65-9D91-7224C49458BB}"/>
              </c:extLst>
            </c:dLbl>
            <c:dLbl>
              <c:idx val="24"/>
              <c:layout>
                <c:manualLayout>
                  <c:x val="-3.3017984827441323E-5"/>
                  <c:y val="2.6629396630130467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B8DB-45DA-83E0-6C91F54F0681}"/>
                </c:ext>
                <c:ext xmlns:c15="http://schemas.microsoft.com/office/drawing/2012/chart" uri="{CE6537A1-D6FC-4f65-9D91-7224C49458BB}"/>
              </c:extLst>
            </c:dLbl>
            <c:dLbl>
              <c:idx val="25"/>
              <c:layout>
                <c:manualLayout>
                  <c:x val="6.3529812890059708E-3"/>
                  <c:y val="1.232790960904265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B8DB-45DA-83E0-6C91F54F0681}"/>
                </c:ext>
                <c:ext xmlns:c15="http://schemas.microsoft.com/office/drawing/2012/chart" uri="{CE6537A1-D6FC-4f65-9D91-7224C49458BB}"/>
              </c:extLst>
            </c:dLbl>
            <c:dLbl>
              <c:idx val="26"/>
              <c:layout>
                <c:manualLayout>
                  <c:x val="-3.2293423493833526E-3"/>
                  <c:y val="-4.7162940774887648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B8DB-45DA-83E0-6C91F54F0681}"/>
                </c:ext>
                <c:ext xmlns:c15="http://schemas.microsoft.com/office/drawing/2012/chart" uri="{CE6537A1-D6FC-4f65-9D91-7224C49458BB}"/>
              </c:extLst>
            </c:dLbl>
            <c:dLbl>
              <c:idx val="27"/>
              <c:layout>
                <c:manualLayout>
                  <c:x val="-9.1341732818238548E-3"/>
                  <c:y val="-1.060172429512742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B8DB-45DA-83E0-6C91F54F0681}"/>
                </c:ext>
                <c:ext xmlns:c15="http://schemas.microsoft.com/office/drawing/2012/chart" uri="{CE6537A1-D6FC-4f65-9D91-7224C49458BB}"/>
              </c:extLst>
            </c:dLbl>
            <c:dLbl>
              <c:idx val="28"/>
              <c:layout>
                <c:manualLayout>
                  <c:x val="3.2690097894885642E-3"/>
                  <c:y val="8.3879819698415136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B8DB-45DA-83E0-6C91F54F0681}"/>
                </c:ext>
                <c:ext xmlns:c15="http://schemas.microsoft.com/office/drawing/2012/chart" uri="{CE6537A1-D6FC-4f65-9D91-7224C49458BB}"/>
              </c:extLst>
            </c:dLbl>
            <c:dLbl>
              <c:idx val="29"/>
              <c:layout>
                <c:manualLayout>
                  <c:x val="-1.0439706272672346E-3"/>
                  <c:y val="-2.4019904751725038E-4"/>
                </c:manualLayout>
              </c:layout>
              <c:spPr>
                <a:noFill/>
                <a:ln w="31989">
                  <a:noFill/>
                </a:ln>
              </c:spPr>
              <c:txPr>
                <a:bodyPr wrap="square" lIns="38100" tIns="19050" rIns="38100" bIns="19050" anchor="ctr">
                  <a:noAutofit/>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B8DB-45DA-83E0-6C91F54F0681}"/>
                </c:ext>
                <c:ext xmlns:c15="http://schemas.microsoft.com/office/drawing/2012/chart" uri="{CE6537A1-D6FC-4f65-9D91-7224C49458BB}">
                  <c15:layout>
                    <c:manualLayout>
                      <c:w val="3.7453183520599252E-2"/>
                      <c:h val="4.5625942684766205E-2"/>
                    </c:manualLayout>
                  </c15:layout>
                </c:ext>
              </c:extLst>
            </c:dLbl>
            <c:dLbl>
              <c:idx val="30"/>
              <c:layout>
                <c:manualLayout>
                  <c:x val="1.4044943820224719E-2"/>
                  <c:y val="3.7710359734445115E-3"/>
                </c:manualLayout>
              </c:layout>
              <c:spPr>
                <a:noFill/>
                <a:ln w="31989">
                  <a:noFill/>
                </a:ln>
              </c:spPr>
              <c:txPr>
                <a:bodyPr wrap="square" lIns="38100" tIns="19050" rIns="38100" bIns="19050" anchor="ctr">
                  <a:noAutofit/>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3.9325842696629212E-2"/>
                      <c:h val="9.0874811463046781E-2"/>
                    </c:manualLayout>
                  </c15:layout>
                </c:ext>
              </c:extLst>
            </c:dLbl>
            <c:spPr>
              <a:noFill/>
              <a:ln w="31989">
                <a:noFill/>
              </a:ln>
            </c:spPr>
            <c:txPr>
              <a:bodyPr wrap="square" lIns="38100" tIns="19050" rIns="38100" bIns="19050" anchor="ctr">
                <a:spAutoFit/>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Sheet1!$B$1:$AF$1</c:f>
              <c:strCache>
                <c:ptCount val="3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pt idx="30">
                  <c:v>2025</c:v>
                </c:pt>
              </c:strCache>
            </c:strRef>
          </c:cat>
          <c:val>
            <c:numRef>
              <c:f>Sheet1!$B$2:$AF$2</c:f>
              <c:numCache>
                <c:formatCode>General</c:formatCode>
                <c:ptCount val="31"/>
                <c:pt idx="0">
                  <c:v>1</c:v>
                </c:pt>
                <c:pt idx="1">
                  <c:v>2</c:v>
                </c:pt>
                <c:pt idx="2">
                  <c:v>4</c:v>
                </c:pt>
                <c:pt idx="3">
                  <c:v>6</c:v>
                </c:pt>
                <c:pt idx="4">
                  <c:v>12</c:v>
                </c:pt>
                <c:pt idx="5">
                  <c:v>30</c:v>
                </c:pt>
                <c:pt idx="6">
                  <c:v>83</c:v>
                </c:pt>
                <c:pt idx="7">
                  <c:v>114</c:v>
                </c:pt>
                <c:pt idx="8">
                  <c:v>145</c:v>
                </c:pt>
                <c:pt idx="9">
                  <c:v>185</c:v>
                </c:pt>
                <c:pt idx="10">
                  <c:v>222</c:v>
                </c:pt>
                <c:pt idx="11">
                  <c:v>263</c:v>
                </c:pt>
                <c:pt idx="12">
                  <c:v>307</c:v>
                </c:pt>
                <c:pt idx="13">
                  <c:v>352</c:v>
                </c:pt>
                <c:pt idx="14">
                  <c:v>381</c:v>
                </c:pt>
                <c:pt idx="15">
                  <c:v>439</c:v>
                </c:pt>
                <c:pt idx="16">
                  <c:v>493</c:v>
                </c:pt>
                <c:pt idx="17">
                  <c:v>561</c:v>
                </c:pt>
                <c:pt idx="18">
                  <c:v>648</c:v>
                </c:pt>
                <c:pt idx="19">
                  <c:v>752</c:v>
                </c:pt>
                <c:pt idx="20">
                  <c:v>882</c:v>
                </c:pt>
                <c:pt idx="21">
                  <c:v>997</c:v>
                </c:pt>
                <c:pt idx="22">
                  <c:v>1111</c:v>
                </c:pt>
                <c:pt idx="23">
                  <c:v>1264</c:v>
                </c:pt>
                <c:pt idx="24">
                  <c:v>1476</c:v>
                </c:pt>
                <c:pt idx="25">
                  <c:v>1671</c:v>
                </c:pt>
                <c:pt idx="26">
                  <c:v>1952</c:v>
                </c:pt>
                <c:pt idx="27">
                  <c:v>2247</c:v>
                </c:pt>
                <c:pt idx="28">
                  <c:v>2539</c:v>
                </c:pt>
                <c:pt idx="29">
                  <c:v>2806</c:v>
                </c:pt>
                <c:pt idx="30">
                  <c:v>2941</c:v>
                </c:pt>
              </c:numCache>
            </c:numRef>
          </c:val>
          <c:extLst xmlns:c16r2="http://schemas.microsoft.com/office/drawing/2015/06/chart">
            <c:ext xmlns:c16="http://schemas.microsoft.com/office/drawing/2014/chart" uri="{C3380CC4-5D6E-409C-BE32-E72D297353CC}">
              <c16:uniqueId val="{0000001E-B8DB-45DA-83E0-6C91F54F0681}"/>
            </c:ext>
          </c:extLst>
        </c:ser>
        <c:dLbls>
          <c:showLegendKey val="0"/>
          <c:showVal val="0"/>
          <c:showCatName val="0"/>
          <c:showSerName val="0"/>
          <c:showPercent val="0"/>
          <c:showBubbleSize val="0"/>
        </c:dLbls>
        <c:gapWidth val="150"/>
        <c:gapDepth val="0"/>
        <c:shape val="box"/>
        <c:axId val="267661896"/>
        <c:axId val="250533376"/>
        <c:axId val="0"/>
      </c:bar3DChart>
      <c:catAx>
        <c:axId val="267661896"/>
        <c:scaling>
          <c:orientation val="minMax"/>
        </c:scaling>
        <c:delete val="0"/>
        <c:axPos val="b"/>
        <c:numFmt formatCode="General" sourceLinked="1"/>
        <c:majorTickMark val="out"/>
        <c:minorTickMark val="none"/>
        <c:tickLblPos val="low"/>
        <c:txPr>
          <a:bodyPr rot="0" vert="horz"/>
          <a:lstStyle/>
          <a:p>
            <a:pPr>
              <a:defRPr sz="550" b="1" i="0" u="none" strike="noStrike" baseline="0">
                <a:solidFill>
                  <a:srgbClr val="003366"/>
                </a:solidFill>
                <a:latin typeface="Times New Roman"/>
                <a:ea typeface="Times New Roman"/>
                <a:cs typeface="Times New Roman"/>
              </a:defRPr>
            </a:pPr>
            <a:endParaRPr lang="ru-RU"/>
          </a:p>
        </c:txPr>
        <c:crossAx val="250533376"/>
        <c:crosses val="autoZero"/>
        <c:auto val="1"/>
        <c:lblAlgn val="ctr"/>
        <c:lblOffset val="100"/>
        <c:tickLblSkip val="1"/>
        <c:tickMarkSkip val="1"/>
        <c:noMultiLvlLbl val="0"/>
      </c:catAx>
      <c:valAx>
        <c:axId val="250533376"/>
        <c:scaling>
          <c:orientation val="minMax"/>
        </c:scaling>
        <c:delete val="0"/>
        <c:axPos val="l"/>
        <c:majorGridlines/>
        <c:numFmt formatCode="General" sourceLinked="1"/>
        <c:majorTickMark val="out"/>
        <c:minorTickMark val="none"/>
        <c:tickLblPos val="nextTo"/>
        <c:txPr>
          <a:bodyPr rot="0" vert="horz"/>
          <a:lstStyle/>
          <a:p>
            <a:pPr>
              <a:defRPr sz="700" b="0" i="0" u="none" strike="noStrike" baseline="0">
                <a:solidFill>
                  <a:srgbClr val="003366"/>
                </a:solidFill>
                <a:latin typeface="Georgia"/>
                <a:ea typeface="Georgia"/>
                <a:cs typeface="Georgia"/>
              </a:defRPr>
            </a:pPr>
            <a:endParaRPr lang="ru-RU"/>
          </a:p>
        </c:txPr>
        <c:crossAx val="267661896"/>
        <c:crosses val="autoZero"/>
        <c:crossBetween val="between"/>
      </c:valAx>
      <c:spPr>
        <a:noFill/>
        <a:ln w="31989">
          <a:noFill/>
        </a:ln>
      </c:spPr>
    </c:plotArea>
    <c:plotVisOnly val="1"/>
    <c:dispBlanksAs val="gap"/>
    <c:showDLblsOverMax val="0"/>
  </c:chart>
  <c:spPr>
    <a:noFill/>
    <a:ln>
      <a:noFill/>
    </a:ln>
  </c:spPr>
  <c:txPr>
    <a:bodyPr/>
    <a:lstStyle/>
    <a:p>
      <a:pPr>
        <a:defRPr sz="2767"/>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258</Words>
  <Characters>1474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ГАУЗ АО « Амурский областной центр по профилактике и борьбе</vt:lpstr>
    </vt:vector>
  </TitlesOfParts>
  <Company>MoBIL GROUP</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ГАУЗ АО « Амурский областной центр по профилактике и борьбе</dc:title>
  <dc:creator>User</dc:creator>
  <cp:lastModifiedBy>RePack by Diakov</cp:lastModifiedBy>
  <cp:revision>3</cp:revision>
  <cp:lastPrinted>2023-12-04T00:59:00Z</cp:lastPrinted>
  <dcterms:created xsi:type="dcterms:W3CDTF">2025-07-04T02:08:00Z</dcterms:created>
  <dcterms:modified xsi:type="dcterms:W3CDTF">2025-07-04T02:14:00Z</dcterms:modified>
</cp:coreProperties>
</file>